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29783F" w14:textId="5E275032" w:rsidR="00B078FD" w:rsidRPr="008F4A7F" w:rsidRDefault="00166711" w:rsidP="00B078FD">
      <w:pPr>
        <w:tabs>
          <w:tab w:val="left" w:pos="1276"/>
        </w:tabs>
        <w:jc w:val="center"/>
        <w:rPr>
          <w:rFonts w:ascii="Arial" w:hAnsi="Arial" w:cs="Arial"/>
          <w:b/>
          <w:color w:val="000000" w:themeColor="text1"/>
          <w:sz w:val="22"/>
          <w:szCs w:val="22"/>
        </w:rPr>
      </w:pPr>
      <w:r w:rsidRPr="008F4A7F">
        <w:rPr>
          <w:rFonts w:ascii="Arial" w:hAnsi="Arial" w:cs="Arial"/>
          <w:b/>
          <w:color w:val="000000" w:themeColor="text1"/>
          <w:sz w:val="22"/>
          <w:szCs w:val="22"/>
        </w:rPr>
        <w:t xml:space="preserve">RESOLUCIÓN </w:t>
      </w:r>
      <w:r w:rsidR="00D523B7" w:rsidRPr="008F4A7F">
        <w:rPr>
          <w:rFonts w:ascii="Arial" w:hAnsi="Arial" w:cs="Arial"/>
          <w:b/>
          <w:color w:val="000000" w:themeColor="text1"/>
          <w:sz w:val="22"/>
          <w:szCs w:val="22"/>
        </w:rPr>
        <w:t xml:space="preserve">No </w:t>
      </w:r>
      <w:r w:rsidR="009E3A8B" w:rsidRPr="00F532A2">
        <w:rPr>
          <w:rFonts w:ascii="Arial" w:hAnsi="Arial" w:cs="Arial"/>
          <w:b/>
          <w:color w:val="FF0000"/>
          <w:sz w:val="22"/>
          <w:szCs w:val="22"/>
        </w:rPr>
        <w:t>XXX</w:t>
      </w:r>
    </w:p>
    <w:p w14:paraId="50F6B398" w14:textId="699BDF05" w:rsidR="00B078FD" w:rsidRPr="008F4A7F" w:rsidRDefault="004C60DC" w:rsidP="00B078FD">
      <w:pPr>
        <w:tabs>
          <w:tab w:val="left" w:pos="1276"/>
        </w:tabs>
        <w:jc w:val="center"/>
        <w:rPr>
          <w:rFonts w:ascii="Arial" w:hAnsi="Arial" w:cs="Arial"/>
          <w:b/>
          <w:color w:val="000000" w:themeColor="text1"/>
          <w:sz w:val="22"/>
          <w:szCs w:val="22"/>
        </w:rPr>
      </w:pPr>
      <w:r>
        <w:rPr>
          <w:rFonts w:ascii="Arial" w:hAnsi="Arial" w:cs="Arial"/>
          <w:b/>
          <w:color w:val="000000" w:themeColor="text1"/>
          <w:sz w:val="22"/>
          <w:szCs w:val="22"/>
        </w:rPr>
        <w:t>(</w:t>
      </w:r>
      <w:r w:rsidR="00B078FD" w:rsidRPr="008F4A7F">
        <w:rPr>
          <w:rFonts w:ascii="Arial" w:hAnsi="Arial" w:cs="Arial"/>
          <w:b/>
          <w:color w:val="000000" w:themeColor="text1"/>
          <w:sz w:val="22"/>
          <w:szCs w:val="22"/>
        </w:rPr>
        <w:t xml:space="preserve"> </w:t>
      </w:r>
      <w:r w:rsidR="002A5AFE">
        <w:rPr>
          <w:rFonts w:ascii="Arial" w:hAnsi="Arial" w:cs="Arial"/>
          <w:b/>
          <w:color w:val="000000" w:themeColor="text1"/>
          <w:sz w:val="22"/>
          <w:szCs w:val="22"/>
        </w:rPr>
        <w:t>2</w:t>
      </w:r>
      <w:r w:rsidR="00346CF1">
        <w:rPr>
          <w:rFonts w:ascii="Arial" w:hAnsi="Arial" w:cs="Arial"/>
          <w:b/>
          <w:color w:val="000000" w:themeColor="text1"/>
          <w:sz w:val="22"/>
          <w:szCs w:val="22"/>
        </w:rPr>
        <w:t>7</w:t>
      </w:r>
      <w:r w:rsidR="007F0A25" w:rsidRPr="008F4A7F">
        <w:rPr>
          <w:rFonts w:ascii="Arial" w:hAnsi="Arial" w:cs="Arial"/>
          <w:b/>
          <w:color w:val="000000" w:themeColor="text1"/>
          <w:sz w:val="22"/>
          <w:szCs w:val="22"/>
        </w:rPr>
        <w:t xml:space="preserve"> </w:t>
      </w:r>
      <w:r w:rsidR="00B078FD" w:rsidRPr="008F4A7F">
        <w:rPr>
          <w:rFonts w:ascii="Arial" w:hAnsi="Arial" w:cs="Arial"/>
          <w:b/>
          <w:color w:val="000000" w:themeColor="text1"/>
          <w:sz w:val="22"/>
          <w:szCs w:val="22"/>
        </w:rPr>
        <w:t xml:space="preserve">de </w:t>
      </w:r>
      <w:r w:rsidR="00346CF1">
        <w:rPr>
          <w:rFonts w:ascii="Arial" w:hAnsi="Arial" w:cs="Arial"/>
          <w:b/>
          <w:color w:val="000000" w:themeColor="text1"/>
          <w:sz w:val="22"/>
          <w:szCs w:val="22"/>
        </w:rPr>
        <w:t>mayo</w:t>
      </w:r>
      <w:r w:rsidR="00B078FD" w:rsidRPr="008F4A7F">
        <w:rPr>
          <w:rFonts w:ascii="Arial" w:hAnsi="Arial" w:cs="Arial"/>
          <w:b/>
          <w:color w:val="000000" w:themeColor="text1"/>
          <w:sz w:val="22"/>
          <w:szCs w:val="22"/>
        </w:rPr>
        <w:t xml:space="preserve"> de 202</w:t>
      </w:r>
      <w:r w:rsidR="00E238C6">
        <w:rPr>
          <w:rFonts w:ascii="Arial" w:hAnsi="Arial" w:cs="Arial"/>
          <w:b/>
          <w:color w:val="000000" w:themeColor="text1"/>
          <w:sz w:val="22"/>
          <w:szCs w:val="22"/>
        </w:rPr>
        <w:t>6</w:t>
      </w:r>
      <w:r>
        <w:rPr>
          <w:rFonts w:ascii="Arial" w:hAnsi="Arial" w:cs="Arial"/>
          <w:b/>
          <w:color w:val="000000" w:themeColor="text1"/>
          <w:sz w:val="22"/>
          <w:szCs w:val="22"/>
        </w:rPr>
        <w:t>)</w:t>
      </w:r>
    </w:p>
    <w:p w14:paraId="2354BC97" w14:textId="77777777" w:rsidR="00B078FD" w:rsidRPr="008F4A7F" w:rsidRDefault="00B078FD" w:rsidP="00B078FD">
      <w:pPr>
        <w:tabs>
          <w:tab w:val="left" w:pos="1276"/>
        </w:tabs>
        <w:jc w:val="center"/>
        <w:rPr>
          <w:rFonts w:ascii="Arial" w:hAnsi="Arial" w:cs="Arial"/>
          <w:b/>
          <w:color w:val="000000" w:themeColor="text1"/>
          <w:sz w:val="22"/>
          <w:szCs w:val="22"/>
        </w:rPr>
      </w:pPr>
    </w:p>
    <w:p w14:paraId="04D3B5B1" w14:textId="65AE6C6B" w:rsidR="00B078FD" w:rsidRPr="008F4A7F" w:rsidRDefault="00B078FD" w:rsidP="00B078FD">
      <w:pPr>
        <w:tabs>
          <w:tab w:val="left" w:pos="1276"/>
        </w:tabs>
        <w:jc w:val="center"/>
        <w:rPr>
          <w:rFonts w:ascii="Arial" w:hAnsi="Arial" w:cs="Arial"/>
          <w:b/>
          <w:i/>
          <w:iCs/>
          <w:color w:val="000000" w:themeColor="text1"/>
          <w:sz w:val="22"/>
          <w:szCs w:val="22"/>
        </w:rPr>
      </w:pPr>
      <w:r w:rsidRPr="008F4A7F">
        <w:rPr>
          <w:rFonts w:ascii="Arial" w:hAnsi="Arial" w:cs="Arial"/>
          <w:b/>
          <w:color w:val="000000" w:themeColor="text1"/>
          <w:sz w:val="22"/>
          <w:szCs w:val="22"/>
        </w:rPr>
        <w:t>“</w:t>
      </w:r>
      <w:r w:rsidRPr="008F4A7F">
        <w:rPr>
          <w:rFonts w:ascii="Arial" w:hAnsi="Arial" w:cs="Arial"/>
          <w:b/>
          <w:i/>
          <w:iCs/>
          <w:color w:val="000000" w:themeColor="text1"/>
          <w:sz w:val="22"/>
          <w:szCs w:val="22"/>
        </w:rPr>
        <w:t>POR L</w:t>
      </w:r>
      <w:r w:rsidR="000B2170" w:rsidRPr="008F4A7F">
        <w:rPr>
          <w:rFonts w:ascii="Arial" w:hAnsi="Arial" w:cs="Arial"/>
          <w:b/>
          <w:i/>
          <w:iCs/>
          <w:color w:val="000000" w:themeColor="text1"/>
          <w:sz w:val="22"/>
          <w:szCs w:val="22"/>
        </w:rPr>
        <w:t>A</w:t>
      </w:r>
      <w:r w:rsidRPr="008F4A7F">
        <w:rPr>
          <w:rFonts w:ascii="Arial" w:hAnsi="Arial" w:cs="Arial"/>
          <w:b/>
          <w:i/>
          <w:iCs/>
          <w:color w:val="000000" w:themeColor="text1"/>
          <w:sz w:val="22"/>
          <w:szCs w:val="22"/>
        </w:rPr>
        <w:t xml:space="preserve"> CUAL SE </w:t>
      </w:r>
      <w:r w:rsidR="00B720FD" w:rsidRPr="008F4A7F">
        <w:rPr>
          <w:rFonts w:ascii="Arial" w:hAnsi="Arial" w:cs="Arial"/>
          <w:b/>
          <w:i/>
          <w:iCs/>
          <w:color w:val="000000" w:themeColor="text1"/>
          <w:sz w:val="22"/>
          <w:szCs w:val="22"/>
        </w:rPr>
        <w:t>RESUELVE UN</w:t>
      </w:r>
      <w:r w:rsidR="007F10C4">
        <w:rPr>
          <w:rFonts w:ascii="Arial" w:hAnsi="Arial" w:cs="Arial"/>
          <w:b/>
          <w:i/>
          <w:iCs/>
          <w:color w:val="000000" w:themeColor="text1"/>
          <w:sz w:val="22"/>
          <w:szCs w:val="22"/>
        </w:rPr>
        <w:t xml:space="preserve"> </w:t>
      </w:r>
      <w:r w:rsidR="00346CF1">
        <w:rPr>
          <w:rFonts w:ascii="Arial" w:hAnsi="Arial" w:cs="Arial"/>
          <w:b/>
          <w:i/>
          <w:iCs/>
          <w:color w:val="000000" w:themeColor="text1"/>
          <w:sz w:val="22"/>
          <w:szCs w:val="22"/>
        </w:rPr>
        <w:t>IMPEDIMENTO</w:t>
      </w:r>
      <w:r w:rsidR="007F10C4">
        <w:rPr>
          <w:rFonts w:ascii="Arial" w:hAnsi="Arial" w:cs="Arial"/>
          <w:b/>
          <w:i/>
          <w:iCs/>
          <w:color w:val="000000" w:themeColor="text1"/>
          <w:sz w:val="22"/>
          <w:szCs w:val="22"/>
        </w:rPr>
        <w:t xml:space="preserve"> PRESENTAD</w:t>
      </w:r>
      <w:r w:rsidR="00346CF1">
        <w:rPr>
          <w:rFonts w:ascii="Arial" w:hAnsi="Arial" w:cs="Arial"/>
          <w:b/>
          <w:i/>
          <w:iCs/>
          <w:color w:val="000000" w:themeColor="text1"/>
          <w:sz w:val="22"/>
          <w:szCs w:val="22"/>
        </w:rPr>
        <w:t>O</w:t>
      </w:r>
      <w:r w:rsidR="007F10C4">
        <w:rPr>
          <w:rFonts w:ascii="Arial" w:hAnsi="Arial" w:cs="Arial"/>
          <w:b/>
          <w:i/>
          <w:iCs/>
          <w:color w:val="000000" w:themeColor="text1"/>
          <w:sz w:val="22"/>
          <w:szCs w:val="22"/>
        </w:rPr>
        <w:t xml:space="preserve"> </w:t>
      </w:r>
      <w:r w:rsidR="00137664">
        <w:rPr>
          <w:rFonts w:ascii="Arial" w:hAnsi="Arial" w:cs="Arial"/>
          <w:b/>
          <w:i/>
          <w:iCs/>
          <w:color w:val="000000" w:themeColor="text1"/>
          <w:sz w:val="22"/>
          <w:szCs w:val="22"/>
        </w:rPr>
        <w:t>POR</w:t>
      </w:r>
      <w:r w:rsidR="000B2170" w:rsidRPr="008F4A7F">
        <w:rPr>
          <w:rFonts w:ascii="Arial" w:hAnsi="Arial" w:cs="Arial"/>
          <w:b/>
          <w:i/>
          <w:iCs/>
          <w:color w:val="000000" w:themeColor="text1"/>
          <w:sz w:val="22"/>
          <w:szCs w:val="22"/>
        </w:rPr>
        <w:t xml:space="preserve"> </w:t>
      </w:r>
      <w:r w:rsidR="00346CF1">
        <w:rPr>
          <w:rFonts w:ascii="Arial" w:hAnsi="Arial" w:cs="Arial"/>
          <w:b/>
          <w:i/>
          <w:iCs/>
          <w:color w:val="000000" w:themeColor="text1"/>
          <w:sz w:val="22"/>
          <w:szCs w:val="22"/>
        </w:rPr>
        <w:t>ADRIANA QUINTERO SANTIAG</w:t>
      </w:r>
      <w:r w:rsidR="004C60DC">
        <w:rPr>
          <w:rFonts w:ascii="Arial" w:hAnsi="Arial" w:cs="Arial"/>
          <w:b/>
          <w:i/>
          <w:iCs/>
          <w:color w:val="000000" w:themeColor="text1"/>
          <w:sz w:val="22"/>
          <w:szCs w:val="22"/>
        </w:rPr>
        <w:t>O</w:t>
      </w:r>
      <w:r w:rsidR="00360DC8">
        <w:rPr>
          <w:rFonts w:ascii="Arial" w:hAnsi="Arial" w:cs="Arial"/>
          <w:b/>
          <w:i/>
          <w:iCs/>
          <w:color w:val="000000" w:themeColor="text1"/>
          <w:sz w:val="22"/>
          <w:szCs w:val="22"/>
        </w:rPr>
        <w:t xml:space="preserve">, </w:t>
      </w:r>
      <w:r w:rsidR="000C1000">
        <w:rPr>
          <w:rFonts w:ascii="Arial" w:hAnsi="Arial" w:cs="Arial"/>
          <w:b/>
          <w:i/>
          <w:iCs/>
          <w:color w:val="000000" w:themeColor="text1"/>
          <w:sz w:val="22"/>
          <w:szCs w:val="22"/>
        </w:rPr>
        <w:t>INSPECTOR</w:t>
      </w:r>
      <w:r w:rsidR="00346CF1">
        <w:rPr>
          <w:rFonts w:ascii="Arial" w:hAnsi="Arial" w:cs="Arial"/>
          <w:b/>
          <w:i/>
          <w:iCs/>
          <w:color w:val="000000" w:themeColor="text1"/>
          <w:sz w:val="22"/>
          <w:szCs w:val="22"/>
        </w:rPr>
        <w:t>A</w:t>
      </w:r>
      <w:r w:rsidR="000C1000">
        <w:rPr>
          <w:rFonts w:ascii="Arial" w:hAnsi="Arial" w:cs="Arial"/>
          <w:b/>
          <w:i/>
          <w:iCs/>
          <w:color w:val="000000" w:themeColor="text1"/>
          <w:sz w:val="22"/>
          <w:szCs w:val="22"/>
        </w:rPr>
        <w:t xml:space="preserve"> </w:t>
      </w:r>
      <w:r w:rsidR="00346CF1">
        <w:rPr>
          <w:rFonts w:ascii="Arial" w:hAnsi="Arial" w:cs="Arial"/>
          <w:b/>
          <w:i/>
          <w:iCs/>
          <w:color w:val="000000" w:themeColor="text1"/>
          <w:sz w:val="22"/>
          <w:szCs w:val="22"/>
        </w:rPr>
        <w:t>PRIMERA</w:t>
      </w:r>
      <w:r w:rsidR="000C1000">
        <w:rPr>
          <w:rFonts w:ascii="Arial" w:hAnsi="Arial" w:cs="Arial"/>
          <w:b/>
          <w:i/>
          <w:iCs/>
          <w:color w:val="000000" w:themeColor="text1"/>
          <w:sz w:val="22"/>
          <w:szCs w:val="22"/>
        </w:rPr>
        <w:t xml:space="preserve"> DE POLICIA</w:t>
      </w:r>
      <w:r w:rsidRPr="008F4A7F">
        <w:rPr>
          <w:rFonts w:ascii="Arial" w:hAnsi="Arial" w:cs="Arial"/>
          <w:b/>
          <w:i/>
          <w:iCs/>
          <w:color w:val="000000" w:themeColor="text1"/>
          <w:sz w:val="22"/>
          <w:szCs w:val="22"/>
        </w:rPr>
        <w:t xml:space="preserve">” </w:t>
      </w:r>
    </w:p>
    <w:p w14:paraId="48EDE9B1" w14:textId="77777777" w:rsidR="00B078FD" w:rsidRPr="008F4A7F" w:rsidRDefault="00B078FD" w:rsidP="00B078FD">
      <w:pPr>
        <w:tabs>
          <w:tab w:val="left" w:pos="1276"/>
        </w:tabs>
        <w:jc w:val="center"/>
        <w:rPr>
          <w:rFonts w:ascii="Arial" w:hAnsi="Arial" w:cs="Arial"/>
          <w:b/>
          <w:i/>
          <w:iCs/>
          <w:color w:val="000000" w:themeColor="text1"/>
          <w:sz w:val="22"/>
          <w:szCs w:val="22"/>
        </w:rPr>
      </w:pPr>
    </w:p>
    <w:p w14:paraId="6A2B1373" w14:textId="05C78484" w:rsidR="00B078FD" w:rsidRPr="008F4A7F" w:rsidRDefault="000B2170" w:rsidP="00B078FD">
      <w:pPr>
        <w:tabs>
          <w:tab w:val="left" w:pos="1276"/>
        </w:tabs>
        <w:jc w:val="center"/>
        <w:rPr>
          <w:rFonts w:ascii="Arial" w:hAnsi="Arial" w:cs="Arial"/>
          <w:b/>
          <w:color w:val="000000" w:themeColor="text1"/>
          <w:sz w:val="22"/>
          <w:szCs w:val="22"/>
        </w:rPr>
      </w:pPr>
      <w:r w:rsidRPr="008F4A7F">
        <w:rPr>
          <w:rFonts w:ascii="Arial" w:hAnsi="Arial" w:cs="Arial"/>
          <w:b/>
          <w:color w:val="000000" w:themeColor="text1"/>
          <w:sz w:val="22"/>
          <w:szCs w:val="22"/>
        </w:rPr>
        <w:t>LA ALCALDESA MUNICIPAL DE CAJICÁ – CUNDINAMARCA.</w:t>
      </w:r>
    </w:p>
    <w:p w14:paraId="5DEBD23D" w14:textId="77777777" w:rsidR="000B2170" w:rsidRPr="008F4A7F" w:rsidRDefault="000B2170" w:rsidP="00B078FD">
      <w:pPr>
        <w:tabs>
          <w:tab w:val="left" w:pos="1276"/>
        </w:tabs>
        <w:jc w:val="center"/>
        <w:rPr>
          <w:rFonts w:ascii="Arial" w:hAnsi="Arial" w:cs="Arial"/>
          <w:bCs/>
          <w:color w:val="000000" w:themeColor="text1"/>
          <w:sz w:val="22"/>
          <w:szCs w:val="22"/>
        </w:rPr>
      </w:pPr>
    </w:p>
    <w:p w14:paraId="3CF58DE7" w14:textId="337F577C" w:rsidR="000B2170" w:rsidRPr="008F4A7F" w:rsidRDefault="000B2170" w:rsidP="000B2170">
      <w:pPr>
        <w:tabs>
          <w:tab w:val="left" w:pos="1276"/>
        </w:tabs>
        <w:jc w:val="both"/>
        <w:rPr>
          <w:rFonts w:ascii="Arial" w:hAnsi="Arial" w:cs="Arial"/>
          <w:bCs/>
          <w:color w:val="000000" w:themeColor="text1"/>
          <w:sz w:val="22"/>
          <w:szCs w:val="22"/>
        </w:rPr>
      </w:pPr>
      <w:r w:rsidRPr="008F4A7F">
        <w:rPr>
          <w:rFonts w:ascii="Arial" w:hAnsi="Arial" w:cs="Arial"/>
          <w:bCs/>
          <w:color w:val="000000" w:themeColor="text1"/>
          <w:sz w:val="22"/>
          <w:szCs w:val="22"/>
        </w:rPr>
        <w:t>En uso de sus atribuciones Constitucionales y Legales, en especial las conferidas por el artículo 12 de la Ley 1437 de 2011 Código de Procedimiento Administrativo y de lo Contencioso Administrativo y,</w:t>
      </w:r>
    </w:p>
    <w:p w14:paraId="6DCEDE93" w14:textId="77777777" w:rsidR="000B2170" w:rsidRPr="008F4A7F" w:rsidRDefault="000B2170" w:rsidP="00B078FD">
      <w:pPr>
        <w:tabs>
          <w:tab w:val="left" w:pos="1276"/>
        </w:tabs>
        <w:jc w:val="center"/>
        <w:rPr>
          <w:rFonts w:ascii="Arial" w:hAnsi="Arial" w:cs="Arial"/>
          <w:b/>
          <w:color w:val="000000" w:themeColor="text1"/>
          <w:sz w:val="22"/>
          <w:szCs w:val="22"/>
        </w:rPr>
      </w:pPr>
    </w:p>
    <w:p w14:paraId="11960F0D" w14:textId="26C00A39" w:rsidR="00B078FD" w:rsidRPr="001E1C2A" w:rsidRDefault="000B2170" w:rsidP="000B2170">
      <w:pPr>
        <w:jc w:val="center"/>
        <w:rPr>
          <w:rFonts w:ascii="Arial" w:eastAsia="Batang" w:hAnsi="Arial" w:cs="Arial"/>
          <w:b/>
          <w:color w:val="000000" w:themeColor="text1"/>
          <w:sz w:val="22"/>
          <w:szCs w:val="22"/>
          <w:lang w:val="es-ES_tradnl"/>
        </w:rPr>
      </w:pPr>
      <w:r w:rsidRPr="001E1C2A">
        <w:rPr>
          <w:rFonts w:ascii="Arial" w:eastAsia="Batang" w:hAnsi="Arial" w:cs="Arial"/>
          <w:b/>
          <w:color w:val="000000" w:themeColor="text1"/>
          <w:sz w:val="22"/>
          <w:szCs w:val="22"/>
          <w:lang w:val="es-ES_tradnl"/>
        </w:rPr>
        <w:t>CONSIDERA</w:t>
      </w:r>
      <w:r w:rsidR="00E1419A">
        <w:rPr>
          <w:rFonts w:ascii="Arial" w:eastAsia="Batang" w:hAnsi="Arial" w:cs="Arial"/>
          <w:b/>
          <w:color w:val="000000" w:themeColor="text1"/>
          <w:sz w:val="22"/>
          <w:szCs w:val="22"/>
          <w:lang w:val="es-ES_tradnl"/>
        </w:rPr>
        <w:t>NDO</w:t>
      </w:r>
    </w:p>
    <w:p w14:paraId="2CCAFE85" w14:textId="77777777" w:rsidR="00C5375F" w:rsidRDefault="00C5375F" w:rsidP="003A3BE4">
      <w:pPr>
        <w:jc w:val="both"/>
        <w:rPr>
          <w:rFonts w:ascii="Arial" w:eastAsia="Times New Roman" w:hAnsi="Arial" w:cs="Arial"/>
          <w:color w:val="000000" w:themeColor="text1"/>
          <w:sz w:val="22"/>
          <w:szCs w:val="22"/>
        </w:rPr>
      </w:pPr>
    </w:p>
    <w:p w14:paraId="032D7206" w14:textId="77777777" w:rsidR="001E1C2A" w:rsidRPr="001E1C2A" w:rsidRDefault="001E1C2A" w:rsidP="00806A1D">
      <w:pPr>
        <w:jc w:val="both"/>
        <w:rPr>
          <w:rFonts w:ascii="Arial" w:eastAsia="Times New Roman" w:hAnsi="Arial" w:cs="Arial"/>
          <w:b/>
          <w:bCs/>
          <w:color w:val="000000" w:themeColor="text1"/>
          <w:sz w:val="22"/>
          <w:szCs w:val="22"/>
        </w:rPr>
      </w:pPr>
      <w:r w:rsidRPr="001E1C2A">
        <w:rPr>
          <w:rFonts w:ascii="Arial" w:eastAsia="Times New Roman" w:hAnsi="Arial" w:cs="Arial"/>
          <w:b/>
          <w:bCs/>
          <w:color w:val="000000" w:themeColor="text1"/>
          <w:sz w:val="22"/>
          <w:szCs w:val="22"/>
        </w:rPr>
        <w:t>ANTECEDENTES</w:t>
      </w:r>
    </w:p>
    <w:p w14:paraId="0B88AE06" w14:textId="77777777" w:rsidR="001E1C2A" w:rsidRDefault="001E1C2A" w:rsidP="00806A1D">
      <w:pPr>
        <w:jc w:val="both"/>
        <w:rPr>
          <w:rFonts w:ascii="Arial" w:eastAsia="Times New Roman" w:hAnsi="Arial" w:cs="Arial"/>
          <w:color w:val="000000" w:themeColor="text1"/>
          <w:sz w:val="22"/>
          <w:szCs w:val="22"/>
        </w:rPr>
      </w:pPr>
    </w:p>
    <w:p w14:paraId="0BAF5F5D" w14:textId="2F9CEA2D" w:rsidR="00346CF1" w:rsidRPr="004C60DC" w:rsidRDefault="00346CF1" w:rsidP="004C60DC">
      <w:pPr>
        <w:pStyle w:val="NormalWeb"/>
        <w:jc w:val="both"/>
        <w:rPr>
          <w:rFonts w:ascii="Arial" w:hAnsi="Arial" w:cs="Arial"/>
          <w:sz w:val="22"/>
          <w:szCs w:val="22"/>
        </w:rPr>
      </w:pPr>
      <w:r w:rsidRPr="004C60DC">
        <w:rPr>
          <w:rFonts w:ascii="Arial" w:hAnsi="Arial" w:cs="Arial"/>
          <w:sz w:val="22"/>
          <w:szCs w:val="22"/>
        </w:rPr>
        <w:t xml:space="preserve">Que mediante memorando AMC-SDG-IP1-115-2026 del 25 de mayo de 2026, la doctora ADRIANA PATRICIA QUINTERO SANTIAGO, en su calidad de Inspectora Primera de Policía del Municipio de Cajicá, manifestó impedimento para continuar conociendo y tramitando el expediente CCIEP-04-2026, </w:t>
      </w:r>
      <w:r w:rsidR="00137664">
        <w:rPr>
          <w:rFonts w:ascii="Arial" w:hAnsi="Arial" w:cs="Arial"/>
          <w:sz w:val="22"/>
          <w:szCs w:val="22"/>
        </w:rPr>
        <w:t>en los siguientes terminos:</w:t>
      </w:r>
    </w:p>
    <w:p w14:paraId="3E4F6C37" w14:textId="3457C40F" w:rsidR="00137664" w:rsidRPr="00137664" w:rsidRDefault="00137664" w:rsidP="00137664">
      <w:pPr>
        <w:ind w:left="567" w:right="616"/>
        <w:jc w:val="both"/>
        <w:rPr>
          <w:rFonts w:ascii="Arial" w:hAnsi="Arial" w:cs="Arial"/>
          <w:i/>
          <w:iCs/>
          <w:sz w:val="22"/>
          <w:szCs w:val="22"/>
        </w:rPr>
      </w:pPr>
      <w:r w:rsidRPr="00137664">
        <w:rPr>
          <w:rFonts w:ascii="Arial" w:hAnsi="Arial" w:cs="Arial"/>
          <w:i/>
          <w:iCs/>
          <w:sz w:val="22"/>
          <w:szCs w:val="22"/>
        </w:rPr>
        <w:t>En mi calidad de servidor público de [Nombre de la Entidad]</w:t>
      </w:r>
      <w:r>
        <w:rPr>
          <w:rFonts w:ascii="Arial" w:hAnsi="Arial" w:cs="Arial"/>
          <w:i/>
          <w:iCs/>
          <w:sz w:val="22"/>
          <w:szCs w:val="22"/>
        </w:rPr>
        <w:t xml:space="preserve"> (sic)</w:t>
      </w:r>
      <w:r w:rsidRPr="00137664">
        <w:rPr>
          <w:rFonts w:ascii="Arial" w:hAnsi="Arial" w:cs="Arial"/>
          <w:i/>
          <w:iCs/>
          <w:sz w:val="22"/>
          <w:szCs w:val="22"/>
        </w:rPr>
        <w:t xml:space="preserve"> y en ejercicio del principio de</w:t>
      </w:r>
      <w:r>
        <w:rPr>
          <w:rFonts w:ascii="Arial" w:hAnsi="Arial" w:cs="Arial"/>
          <w:i/>
          <w:iCs/>
          <w:sz w:val="22"/>
          <w:szCs w:val="22"/>
        </w:rPr>
        <w:t xml:space="preserve"> </w:t>
      </w:r>
      <w:r w:rsidRPr="00137664">
        <w:rPr>
          <w:rFonts w:ascii="Arial" w:hAnsi="Arial" w:cs="Arial"/>
          <w:i/>
          <w:iCs/>
          <w:sz w:val="22"/>
          <w:szCs w:val="22"/>
        </w:rPr>
        <w:t>transparencia que rige la función pública, de manera respetuosa comparezco ante su despacho con</w:t>
      </w:r>
      <w:r>
        <w:rPr>
          <w:rFonts w:ascii="Arial" w:hAnsi="Arial" w:cs="Arial"/>
          <w:i/>
          <w:iCs/>
          <w:sz w:val="22"/>
          <w:szCs w:val="22"/>
        </w:rPr>
        <w:t xml:space="preserve"> </w:t>
      </w:r>
      <w:r w:rsidRPr="00137664">
        <w:rPr>
          <w:rFonts w:ascii="Arial" w:hAnsi="Arial" w:cs="Arial"/>
          <w:i/>
          <w:iCs/>
          <w:sz w:val="22"/>
          <w:szCs w:val="22"/>
        </w:rPr>
        <w:t>el fin de MANIFESTAR MI IMPEDIMENTO para conocer, tramitar, proyectar o decidir dentro de las</w:t>
      </w:r>
      <w:r>
        <w:rPr>
          <w:rFonts w:ascii="Arial" w:hAnsi="Arial" w:cs="Arial"/>
          <w:i/>
          <w:iCs/>
          <w:sz w:val="22"/>
          <w:szCs w:val="22"/>
        </w:rPr>
        <w:t xml:space="preserve"> </w:t>
      </w:r>
      <w:r w:rsidRPr="00137664">
        <w:rPr>
          <w:rFonts w:ascii="Arial" w:hAnsi="Arial" w:cs="Arial"/>
          <w:i/>
          <w:iCs/>
          <w:sz w:val="22"/>
          <w:szCs w:val="22"/>
        </w:rPr>
        <w:t>actuaciones del proceso de la referencia, con base en los siguientes hechos y fundamentos de</w:t>
      </w:r>
    </w:p>
    <w:p w14:paraId="07F751BA" w14:textId="77777777" w:rsidR="00137664" w:rsidRPr="00137664" w:rsidRDefault="00137664" w:rsidP="00137664">
      <w:pPr>
        <w:ind w:left="567" w:right="616"/>
        <w:jc w:val="both"/>
        <w:rPr>
          <w:rFonts w:ascii="Arial" w:hAnsi="Arial" w:cs="Arial"/>
          <w:i/>
          <w:iCs/>
          <w:sz w:val="22"/>
          <w:szCs w:val="22"/>
        </w:rPr>
      </w:pPr>
      <w:r w:rsidRPr="00137664">
        <w:rPr>
          <w:rFonts w:ascii="Arial" w:hAnsi="Arial" w:cs="Arial"/>
          <w:i/>
          <w:iCs/>
          <w:sz w:val="22"/>
          <w:szCs w:val="22"/>
        </w:rPr>
        <w:t>derecho:</w:t>
      </w:r>
    </w:p>
    <w:p w14:paraId="7B5BD64A" w14:textId="77777777" w:rsidR="00137664" w:rsidRDefault="00137664" w:rsidP="00137664">
      <w:pPr>
        <w:ind w:left="567" w:right="616"/>
        <w:jc w:val="both"/>
        <w:rPr>
          <w:rFonts w:ascii="Arial" w:hAnsi="Arial" w:cs="Arial"/>
          <w:i/>
          <w:iCs/>
          <w:sz w:val="22"/>
          <w:szCs w:val="22"/>
        </w:rPr>
      </w:pPr>
    </w:p>
    <w:p w14:paraId="3606F495" w14:textId="41B5ED42" w:rsidR="00137664" w:rsidRDefault="00137664" w:rsidP="00137664">
      <w:pPr>
        <w:ind w:left="567" w:right="616"/>
        <w:jc w:val="both"/>
        <w:rPr>
          <w:rFonts w:ascii="Arial" w:hAnsi="Arial" w:cs="Arial"/>
          <w:i/>
          <w:iCs/>
          <w:sz w:val="22"/>
          <w:szCs w:val="22"/>
        </w:rPr>
      </w:pPr>
      <w:r w:rsidRPr="00137664">
        <w:rPr>
          <w:rFonts w:ascii="Arial" w:hAnsi="Arial" w:cs="Arial"/>
          <w:i/>
          <w:iCs/>
          <w:sz w:val="22"/>
          <w:szCs w:val="22"/>
        </w:rPr>
        <w:t>HECHOS</w:t>
      </w:r>
    </w:p>
    <w:p w14:paraId="4B23C15E" w14:textId="77777777" w:rsidR="00137664" w:rsidRPr="00137664" w:rsidRDefault="00137664" w:rsidP="00137664">
      <w:pPr>
        <w:ind w:left="567" w:right="616"/>
        <w:jc w:val="both"/>
        <w:rPr>
          <w:rFonts w:ascii="Arial" w:hAnsi="Arial" w:cs="Arial"/>
          <w:i/>
          <w:iCs/>
          <w:sz w:val="22"/>
          <w:szCs w:val="22"/>
        </w:rPr>
      </w:pPr>
    </w:p>
    <w:p w14:paraId="7DA1ACCF" w14:textId="24E4600C" w:rsidR="00137664" w:rsidRPr="00137664" w:rsidRDefault="00137664" w:rsidP="00137664">
      <w:pPr>
        <w:ind w:left="567" w:right="616"/>
        <w:jc w:val="both"/>
        <w:rPr>
          <w:rFonts w:ascii="Arial" w:hAnsi="Arial" w:cs="Arial"/>
          <w:i/>
          <w:iCs/>
          <w:sz w:val="22"/>
          <w:szCs w:val="22"/>
        </w:rPr>
      </w:pPr>
      <w:r w:rsidRPr="00137664">
        <w:rPr>
          <w:rFonts w:ascii="Arial" w:hAnsi="Arial" w:cs="Arial"/>
          <w:i/>
          <w:iCs/>
          <w:sz w:val="22"/>
          <w:szCs w:val="22"/>
        </w:rPr>
        <w:t>1. Como es de su conocimiento en la actualidad em desempeño como Inspectora Primera de</w:t>
      </w:r>
      <w:r>
        <w:rPr>
          <w:rFonts w:ascii="Arial" w:hAnsi="Arial" w:cs="Arial"/>
          <w:i/>
          <w:iCs/>
          <w:sz w:val="22"/>
          <w:szCs w:val="22"/>
        </w:rPr>
        <w:t xml:space="preserve"> </w:t>
      </w:r>
      <w:r w:rsidRPr="00137664">
        <w:rPr>
          <w:rFonts w:ascii="Arial" w:hAnsi="Arial" w:cs="Arial"/>
          <w:i/>
          <w:iCs/>
          <w:sz w:val="22"/>
          <w:szCs w:val="22"/>
        </w:rPr>
        <w:t>Policía, que pertenece a la secretaria de Gobierno y Participación Ciudadana, siendo mi jefe</w:t>
      </w:r>
      <w:r>
        <w:rPr>
          <w:rFonts w:ascii="Arial" w:hAnsi="Arial" w:cs="Arial"/>
          <w:i/>
          <w:iCs/>
          <w:sz w:val="22"/>
          <w:szCs w:val="22"/>
        </w:rPr>
        <w:t xml:space="preserve"> </w:t>
      </w:r>
      <w:r w:rsidRPr="00137664">
        <w:rPr>
          <w:rFonts w:ascii="Arial" w:hAnsi="Arial" w:cs="Arial"/>
          <w:i/>
          <w:iCs/>
          <w:sz w:val="22"/>
          <w:szCs w:val="22"/>
        </w:rPr>
        <w:t>directo y superior jerárquico el secretario Dr. Juan Ricardo Alfonso Rojas.</w:t>
      </w:r>
    </w:p>
    <w:p w14:paraId="7EB745CB" w14:textId="1321E690" w:rsidR="00137664" w:rsidRPr="00137664" w:rsidRDefault="00137664" w:rsidP="00137664">
      <w:pPr>
        <w:ind w:left="567" w:right="616"/>
        <w:jc w:val="both"/>
        <w:rPr>
          <w:rFonts w:ascii="Arial" w:hAnsi="Arial" w:cs="Arial"/>
          <w:i/>
          <w:iCs/>
          <w:sz w:val="22"/>
          <w:szCs w:val="22"/>
        </w:rPr>
      </w:pPr>
      <w:r w:rsidRPr="00137664">
        <w:rPr>
          <w:rFonts w:ascii="Arial" w:hAnsi="Arial" w:cs="Arial"/>
          <w:i/>
          <w:iCs/>
          <w:sz w:val="22"/>
          <w:szCs w:val="22"/>
        </w:rPr>
        <w:t>2. Por medio del presente escrito, me permito manifestar que en fecha quince (15) de mayo</w:t>
      </w:r>
      <w:r>
        <w:rPr>
          <w:rFonts w:ascii="Arial" w:hAnsi="Arial" w:cs="Arial"/>
          <w:i/>
          <w:iCs/>
          <w:sz w:val="22"/>
          <w:szCs w:val="22"/>
        </w:rPr>
        <w:t xml:space="preserve"> </w:t>
      </w:r>
      <w:r w:rsidRPr="00137664">
        <w:rPr>
          <w:rFonts w:ascii="Arial" w:hAnsi="Arial" w:cs="Arial"/>
          <w:i/>
          <w:iCs/>
          <w:sz w:val="22"/>
          <w:szCs w:val="22"/>
        </w:rPr>
        <w:t>de 2026, mediante oficio AMC-SP-0712-2026 y memorando AMC-SP-0436-2026 de fecha 15</w:t>
      </w:r>
      <w:r>
        <w:rPr>
          <w:rFonts w:ascii="Arial" w:hAnsi="Arial" w:cs="Arial"/>
          <w:i/>
          <w:iCs/>
          <w:sz w:val="22"/>
          <w:szCs w:val="22"/>
        </w:rPr>
        <w:t xml:space="preserve"> </w:t>
      </w:r>
      <w:r w:rsidRPr="00137664">
        <w:rPr>
          <w:rFonts w:ascii="Arial" w:hAnsi="Arial" w:cs="Arial"/>
          <w:i/>
          <w:iCs/>
          <w:sz w:val="22"/>
          <w:szCs w:val="22"/>
        </w:rPr>
        <w:t>de mayo de 2026 enviado al correo del despacho de la Inspección Primera de Policía se</w:t>
      </w:r>
      <w:r>
        <w:rPr>
          <w:rFonts w:ascii="Arial" w:hAnsi="Arial" w:cs="Arial"/>
          <w:i/>
          <w:iCs/>
          <w:sz w:val="22"/>
          <w:szCs w:val="22"/>
        </w:rPr>
        <w:t xml:space="preserve"> </w:t>
      </w:r>
      <w:r w:rsidRPr="00137664">
        <w:rPr>
          <w:rFonts w:ascii="Arial" w:hAnsi="Arial" w:cs="Arial"/>
          <w:i/>
          <w:iCs/>
          <w:sz w:val="22"/>
          <w:szCs w:val="22"/>
        </w:rPr>
        <w:t>allegó carpeta con documentos relacionados con el proceso CCIEP-04-2026, dentro de las</w:t>
      </w:r>
      <w:r>
        <w:rPr>
          <w:rFonts w:ascii="Arial" w:hAnsi="Arial" w:cs="Arial"/>
          <w:i/>
          <w:iCs/>
          <w:sz w:val="22"/>
          <w:szCs w:val="22"/>
        </w:rPr>
        <w:t xml:space="preserve"> </w:t>
      </w:r>
      <w:r w:rsidRPr="00137664">
        <w:rPr>
          <w:rFonts w:ascii="Arial" w:hAnsi="Arial" w:cs="Arial"/>
          <w:i/>
          <w:iCs/>
          <w:sz w:val="22"/>
          <w:szCs w:val="22"/>
        </w:rPr>
        <w:t>diligencias del expediente en mención se había fijado fecha para audiencia el día 14 de mayo</w:t>
      </w:r>
      <w:r>
        <w:rPr>
          <w:rFonts w:ascii="Arial" w:hAnsi="Arial" w:cs="Arial"/>
          <w:i/>
          <w:iCs/>
          <w:sz w:val="22"/>
          <w:szCs w:val="22"/>
        </w:rPr>
        <w:t xml:space="preserve"> </w:t>
      </w:r>
      <w:r w:rsidRPr="00137664">
        <w:rPr>
          <w:rFonts w:ascii="Arial" w:hAnsi="Arial" w:cs="Arial"/>
          <w:i/>
          <w:iCs/>
          <w:sz w:val="22"/>
          <w:szCs w:val="22"/>
        </w:rPr>
        <w:t>de 2026.</w:t>
      </w:r>
    </w:p>
    <w:p w14:paraId="0243C513" w14:textId="6F13D3AB" w:rsidR="00137664" w:rsidRPr="00137664" w:rsidRDefault="00137664" w:rsidP="00137664">
      <w:pPr>
        <w:ind w:left="567" w:right="616"/>
        <w:jc w:val="both"/>
        <w:rPr>
          <w:rFonts w:ascii="Arial" w:hAnsi="Arial" w:cs="Arial"/>
          <w:i/>
          <w:iCs/>
          <w:sz w:val="22"/>
          <w:szCs w:val="22"/>
        </w:rPr>
      </w:pPr>
      <w:r w:rsidRPr="00137664">
        <w:rPr>
          <w:rFonts w:ascii="Arial" w:hAnsi="Arial" w:cs="Arial"/>
          <w:i/>
          <w:iCs/>
          <w:sz w:val="22"/>
          <w:szCs w:val="22"/>
        </w:rPr>
        <w:t>3. Que para la audiencia fijada para el día 14 de mayo de 2026 a las 3PM, presentó solicitud</w:t>
      </w:r>
      <w:r>
        <w:rPr>
          <w:rFonts w:ascii="Arial" w:hAnsi="Arial" w:cs="Arial"/>
          <w:i/>
          <w:iCs/>
          <w:sz w:val="22"/>
          <w:szCs w:val="22"/>
        </w:rPr>
        <w:t xml:space="preserve"> </w:t>
      </w:r>
      <w:r w:rsidRPr="00137664">
        <w:rPr>
          <w:rFonts w:ascii="Arial" w:hAnsi="Arial" w:cs="Arial"/>
          <w:i/>
          <w:iCs/>
          <w:sz w:val="22"/>
          <w:szCs w:val="22"/>
        </w:rPr>
        <w:t>de aplazamiento el doctor Francisco Alfonso quien manifestó que tenía interés en el proceso</w:t>
      </w:r>
      <w:r>
        <w:rPr>
          <w:rFonts w:ascii="Arial" w:hAnsi="Arial" w:cs="Arial"/>
          <w:i/>
          <w:iCs/>
          <w:sz w:val="22"/>
          <w:szCs w:val="22"/>
        </w:rPr>
        <w:t xml:space="preserve"> </w:t>
      </w:r>
      <w:r w:rsidRPr="00137664">
        <w:rPr>
          <w:rFonts w:ascii="Arial" w:hAnsi="Arial" w:cs="Arial"/>
          <w:i/>
          <w:iCs/>
          <w:sz w:val="22"/>
          <w:szCs w:val="22"/>
        </w:rPr>
        <w:t>debido a que uno de los predios requeridos es de su familia, sea del caso manifestar que el</w:t>
      </w:r>
      <w:r>
        <w:rPr>
          <w:rFonts w:ascii="Arial" w:hAnsi="Arial" w:cs="Arial"/>
          <w:i/>
          <w:iCs/>
          <w:sz w:val="22"/>
          <w:szCs w:val="22"/>
        </w:rPr>
        <w:t xml:space="preserve"> </w:t>
      </w:r>
      <w:r w:rsidRPr="00137664">
        <w:rPr>
          <w:rFonts w:ascii="Arial" w:hAnsi="Arial" w:cs="Arial"/>
          <w:i/>
          <w:iCs/>
          <w:sz w:val="22"/>
          <w:szCs w:val="22"/>
        </w:rPr>
        <w:t>Dr. Francisco Alfonso actúa como secuestre en algunos de los despachos comisorios que</w:t>
      </w:r>
      <w:r>
        <w:rPr>
          <w:rFonts w:ascii="Arial" w:hAnsi="Arial" w:cs="Arial"/>
          <w:i/>
          <w:iCs/>
          <w:sz w:val="22"/>
          <w:szCs w:val="22"/>
        </w:rPr>
        <w:t xml:space="preserve"> </w:t>
      </w:r>
      <w:r w:rsidRPr="00137664">
        <w:rPr>
          <w:rFonts w:ascii="Arial" w:hAnsi="Arial" w:cs="Arial"/>
          <w:i/>
          <w:iCs/>
          <w:sz w:val="22"/>
          <w:szCs w:val="22"/>
        </w:rPr>
        <w:t>tiene programado mi despacho.</w:t>
      </w:r>
    </w:p>
    <w:p w14:paraId="079D7606" w14:textId="0FD8259C" w:rsidR="00137664" w:rsidRPr="00137664" w:rsidRDefault="00137664" w:rsidP="00137664">
      <w:pPr>
        <w:ind w:left="567" w:right="616"/>
        <w:jc w:val="both"/>
        <w:rPr>
          <w:rFonts w:ascii="Arial" w:hAnsi="Arial" w:cs="Arial"/>
          <w:i/>
          <w:iCs/>
          <w:sz w:val="22"/>
          <w:szCs w:val="22"/>
        </w:rPr>
      </w:pPr>
      <w:r w:rsidRPr="00137664">
        <w:rPr>
          <w:rFonts w:ascii="Arial" w:hAnsi="Arial" w:cs="Arial"/>
          <w:i/>
          <w:iCs/>
          <w:sz w:val="22"/>
          <w:szCs w:val="22"/>
        </w:rPr>
        <w:t>4. Aunado a lo anterior en la carpeta enviada por secretaria de planeación se logró evidenciar</w:t>
      </w:r>
      <w:r>
        <w:rPr>
          <w:rFonts w:ascii="Arial" w:hAnsi="Arial" w:cs="Arial"/>
          <w:i/>
          <w:iCs/>
          <w:sz w:val="22"/>
          <w:szCs w:val="22"/>
        </w:rPr>
        <w:t xml:space="preserve"> </w:t>
      </w:r>
      <w:r w:rsidRPr="00137664">
        <w:rPr>
          <w:rFonts w:ascii="Arial" w:hAnsi="Arial" w:cs="Arial"/>
          <w:i/>
          <w:iCs/>
          <w:sz w:val="22"/>
          <w:szCs w:val="22"/>
        </w:rPr>
        <w:t>que en uno de los predios es heredero mi jefe inmediato el doctor Ricardo Alfonso.</w:t>
      </w:r>
    </w:p>
    <w:p w14:paraId="3912E671" w14:textId="5765B8F9" w:rsidR="00346CF1" w:rsidRDefault="00137664" w:rsidP="00137664">
      <w:pPr>
        <w:ind w:left="567" w:right="616"/>
        <w:jc w:val="both"/>
        <w:rPr>
          <w:rFonts w:ascii="Arial" w:hAnsi="Arial" w:cs="Arial"/>
          <w:i/>
          <w:iCs/>
          <w:sz w:val="22"/>
          <w:szCs w:val="22"/>
        </w:rPr>
      </w:pPr>
      <w:r w:rsidRPr="00137664">
        <w:rPr>
          <w:rFonts w:ascii="Arial" w:hAnsi="Arial" w:cs="Arial"/>
          <w:i/>
          <w:iCs/>
          <w:sz w:val="22"/>
          <w:szCs w:val="22"/>
        </w:rPr>
        <w:t>5. Es claro que entre las facultades de las inspecciones de policía no se encuentra estipulada</w:t>
      </w:r>
      <w:r>
        <w:rPr>
          <w:rFonts w:ascii="Arial" w:hAnsi="Arial" w:cs="Arial"/>
          <w:i/>
          <w:iCs/>
          <w:sz w:val="22"/>
          <w:szCs w:val="22"/>
        </w:rPr>
        <w:t xml:space="preserve"> </w:t>
      </w:r>
      <w:r w:rsidRPr="00137664">
        <w:rPr>
          <w:rFonts w:ascii="Arial" w:hAnsi="Arial" w:cs="Arial"/>
          <w:i/>
          <w:iCs/>
          <w:sz w:val="22"/>
          <w:szCs w:val="22"/>
        </w:rPr>
        <w:t>la de establecer la propiedad de los bienes sujetos a registro, estas situaciones deben ser</w:t>
      </w:r>
      <w:r>
        <w:rPr>
          <w:rFonts w:ascii="Arial" w:hAnsi="Arial" w:cs="Arial"/>
          <w:i/>
          <w:iCs/>
          <w:sz w:val="22"/>
          <w:szCs w:val="22"/>
        </w:rPr>
        <w:t xml:space="preserve"> </w:t>
      </w:r>
      <w:r w:rsidRPr="00137664">
        <w:rPr>
          <w:rFonts w:ascii="Arial" w:hAnsi="Arial" w:cs="Arial"/>
          <w:i/>
          <w:iCs/>
          <w:sz w:val="22"/>
          <w:szCs w:val="22"/>
        </w:rPr>
        <w:t>surtidas ante las autoridades judiciales. Lo anterior debido a dentro de la documentación</w:t>
      </w:r>
      <w:r>
        <w:rPr>
          <w:rFonts w:ascii="Arial" w:hAnsi="Arial" w:cs="Arial"/>
          <w:i/>
          <w:iCs/>
          <w:sz w:val="22"/>
          <w:szCs w:val="22"/>
        </w:rPr>
        <w:t xml:space="preserve"> </w:t>
      </w:r>
      <w:r w:rsidRPr="00137664">
        <w:rPr>
          <w:rFonts w:ascii="Arial" w:hAnsi="Arial" w:cs="Arial"/>
          <w:i/>
          <w:iCs/>
          <w:sz w:val="22"/>
          <w:szCs w:val="22"/>
        </w:rPr>
        <w:t xml:space="preserve">allegada por la secretaria de planeación no se aporta la escritura </w:t>
      </w:r>
      <w:r w:rsidRPr="00137664">
        <w:rPr>
          <w:rFonts w:ascii="Arial" w:hAnsi="Arial" w:cs="Arial"/>
          <w:i/>
          <w:iCs/>
          <w:sz w:val="22"/>
          <w:szCs w:val="22"/>
        </w:rPr>
        <w:t>pública</w:t>
      </w:r>
      <w:r w:rsidRPr="00137664">
        <w:rPr>
          <w:rFonts w:ascii="Arial" w:hAnsi="Arial" w:cs="Arial"/>
          <w:i/>
          <w:iCs/>
          <w:sz w:val="22"/>
          <w:szCs w:val="22"/>
        </w:rPr>
        <w:t xml:space="preserve"> donde conste</w:t>
      </w:r>
      <w:r>
        <w:rPr>
          <w:rFonts w:ascii="Arial" w:hAnsi="Arial" w:cs="Arial"/>
          <w:i/>
          <w:iCs/>
          <w:sz w:val="22"/>
          <w:szCs w:val="22"/>
        </w:rPr>
        <w:t xml:space="preserve"> </w:t>
      </w:r>
      <w:r w:rsidRPr="00137664">
        <w:rPr>
          <w:rFonts w:ascii="Arial" w:hAnsi="Arial" w:cs="Arial"/>
          <w:i/>
          <w:iCs/>
          <w:sz w:val="22"/>
          <w:szCs w:val="22"/>
        </w:rPr>
        <w:t>cesión del espacio que corresponde al sector en cuestión.</w:t>
      </w:r>
    </w:p>
    <w:p w14:paraId="7250A098" w14:textId="77777777" w:rsidR="00137664" w:rsidRDefault="00137664" w:rsidP="00137664">
      <w:pPr>
        <w:ind w:left="567" w:right="616"/>
        <w:jc w:val="both"/>
        <w:rPr>
          <w:rFonts w:ascii="Arial" w:hAnsi="Arial" w:cs="Arial"/>
          <w:i/>
          <w:iCs/>
          <w:sz w:val="22"/>
          <w:szCs w:val="22"/>
        </w:rPr>
      </w:pPr>
    </w:p>
    <w:p w14:paraId="6DDF2F7D" w14:textId="5E5D31F5" w:rsidR="00137664" w:rsidRDefault="00137664" w:rsidP="00137664">
      <w:pPr>
        <w:ind w:left="567" w:right="616"/>
        <w:jc w:val="both"/>
        <w:rPr>
          <w:rFonts w:ascii="Arial" w:hAnsi="Arial" w:cs="Arial"/>
          <w:i/>
          <w:iCs/>
          <w:sz w:val="22"/>
          <w:szCs w:val="22"/>
        </w:rPr>
      </w:pPr>
      <w:r w:rsidRPr="00137664">
        <w:rPr>
          <w:rFonts w:ascii="Arial" w:hAnsi="Arial" w:cs="Arial"/>
          <w:i/>
          <w:iCs/>
          <w:sz w:val="22"/>
          <w:szCs w:val="22"/>
        </w:rPr>
        <w:lastRenderedPageBreak/>
        <w:t>Es preciso indicar a su honorable despacho que, en mi calidad de Inspectora Primera de Policía, me</w:t>
      </w:r>
      <w:r>
        <w:rPr>
          <w:rFonts w:ascii="Arial" w:hAnsi="Arial" w:cs="Arial"/>
          <w:i/>
          <w:iCs/>
          <w:sz w:val="22"/>
          <w:szCs w:val="22"/>
        </w:rPr>
        <w:t xml:space="preserve"> </w:t>
      </w:r>
      <w:r w:rsidRPr="00137664">
        <w:rPr>
          <w:rFonts w:ascii="Arial" w:hAnsi="Arial" w:cs="Arial"/>
          <w:i/>
          <w:iCs/>
          <w:sz w:val="22"/>
          <w:szCs w:val="22"/>
        </w:rPr>
        <w:t>encuentro incursa en una causal de impedimento, de las contenidas en el artículo 11 del Código de</w:t>
      </w:r>
      <w:r>
        <w:rPr>
          <w:rFonts w:ascii="Arial" w:hAnsi="Arial" w:cs="Arial"/>
          <w:i/>
          <w:iCs/>
          <w:sz w:val="22"/>
          <w:szCs w:val="22"/>
        </w:rPr>
        <w:t xml:space="preserve"> </w:t>
      </w:r>
      <w:r w:rsidRPr="00137664">
        <w:rPr>
          <w:rFonts w:ascii="Arial" w:hAnsi="Arial" w:cs="Arial"/>
          <w:i/>
          <w:iCs/>
          <w:sz w:val="22"/>
          <w:szCs w:val="22"/>
        </w:rPr>
        <w:t>Procedimiento Administrativo y de lo Contencioso Administrativo, y en particular en ley 1437 de</w:t>
      </w:r>
      <w:r>
        <w:rPr>
          <w:rFonts w:ascii="Arial" w:hAnsi="Arial" w:cs="Arial"/>
          <w:i/>
          <w:iCs/>
          <w:sz w:val="22"/>
          <w:szCs w:val="22"/>
        </w:rPr>
        <w:t xml:space="preserve"> </w:t>
      </w:r>
      <w:r w:rsidRPr="00137664">
        <w:rPr>
          <w:rFonts w:ascii="Arial" w:hAnsi="Arial" w:cs="Arial"/>
          <w:i/>
          <w:iCs/>
          <w:sz w:val="22"/>
          <w:szCs w:val="22"/>
        </w:rPr>
        <w:t>2011.</w:t>
      </w:r>
    </w:p>
    <w:p w14:paraId="4F4AE693" w14:textId="77777777" w:rsidR="00137664" w:rsidRPr="00137664" w:rsidRDefault="00137664" w:rsidP="00137664">
      <w:pPr>
        <w:ind w:left="567" w:right="616"/>
        <w:jc w:val="both"/>
        <w:rPr>
          <w:rFonts w:ascii="Arial" w:hAnsi="Arial" w:cs="Arial"/>
          <w:i/>
          <w:iCs/>
          <w:sz w:val="22"/>
          <w:szCs w:val="22"/>
        </w:rPr>
      </w:pPr>
    </w:p>
    <w:p w14:paraId="3B1E5130" w14:textId="7312DD22" w:rsidR="00137664" w:rsidRPr="00137664" w:rsidRDefault="00137664" w:rsidP="00137664">
      <w:pPr>
        <w:pStyle w:val="Prrafodelista"/>
        <w:numPr>
          <w:ilvl w:val="0"/>
          <w:numId w:val="6"/>
        </w:numPr>
        <w:ind w:right="616"/>
        <w:rPr>
          <w:rFonts w:ascii="Arial" w:hAnsi="Arial" w:cs="Arial"/>
          <w:i/>
          <w:iCs/>
        </w:rPr>
      </w:pPr>
      <w:r w:rsidRPr="00137664">
        <w:rPr>
          <w:rFonts w:ascii="Arial" w:hAnsi="Arial" w:cs="Arial"/>
          <w:i/>
          <w:iCs/>
        </w:rPr>
        <w:t>Artículo 11 de la Ley 1437 de 2011 (Código de Procedimiento Administrativo y de lo</w:t>
      </w:r>
      <w:r w:rsidRPr="00137664">
        <w:rPr>
          <w:rFonts w:ascii="Arial" w:hAnsi="Arial" w:cs="Arial"/>
          <w:i/>
          <w:iCs/>
        </w:rPr>
        <w:t xml:space="preserve"> </w:t>
      </w:r>
      <w:r w:rsidRPr="00137664">
        <w:rPr>
          <w:rFonts w:ascii="Arial" w:hAnsi="Arial" w:cs="Arial"/>
          <w:i/>
          <w:iCs/>
        </w:rPr>
        <w:t>Contencioso Administrativo - CPACA): Esta norma consagra la obligatoriedad de declararse</w:t>
      </w:r>
      <w:r w:rsidRPr="00137664">
        <w:rPr>
          <w:rFonts w:ascii="Arial" w:hAnsi="Arial" w:cs="Arial"/>
          <w:i/>
          <w:iCs/>
        </w:rPr>
        <w:t xml:space="preserve"> </w:t>
      </w:r>
      <w:r w:rsidRPr="00137664">
        <w:rPr>
          <w:rFonts w:ascii="Arial" w:hAnsi="Arial" w:cs="Arial"/>
          <w:i/>
          <w:iCs/>
        </w:rPr>
        <w:t>impedido cuando la imparcialidad del funcionario pueda verse afectada. Específicamente,</w:t>
      </w:r>
      <w:r w:rsidRPr="00137664">
        <w:rPr>
          <w:rFonts w:ascii="Arial" w:hAnsi="Arial" w:cs="Arial"/>
          <w:i/>
          <w:iCs/>
        </w:rPr>
        <w:t xml:space="preserve"> </w:t>
      </w:r>
      <w:r w:rsidRPr="00137664">
        <w:rPr>
          <w:rFonts w:ascii="Arial" w:hAnsi="Arial" w:cs="Arial"/>
          <w:i/>
          <w:iCs/>
        </w:rPr>
        <w:t>mi situación se encuadra en el Numeral 1 ("Tener interés particular y directo en la</w:t>
      </w:r>
      <w:r w:rsidRPr="00137664">
        <w:rPr>
          <w:rFonts w:ascii="Arial" w:hAnsi="Arial" w:cs="Arial"/>
          <w:i/>
          <w:iCs/>
        </w:rPr>
        <w:t xml:space="preserve"> </w:t>
      </w:r>
      <w:r w:rsidRPr="00137664">
        <w:rPr>
          <w:rFonts w:ascii="Arial" w:hAnsi="Arial" w:cs="Arial"/>
          <w:i/>
          <w:iCs/>
        </w:rPr>
        <w:t>regulación, gestión, control o decisión del asunto"), toda vez que cualquier actuación o</w:t>
      </w:r>
      <w:r w:rsidRPr="00137664">
        <w:rPr>
          <w:rFonts w:ascii="Arial" w:hAnsi="Arial" w:cs="Arial"/>
          <w:i/>
          <w:iCs/>
        </w:rPr>
        <w:t xml:space="preserve"> </w:t>
      </w:r>
      <w:r w:rsidRPr="00137664">
        <w:rPr>
          <w:rFonts w:ascii="Arial" w:hAnsi="Arial" w:cs="Arial"/>
          <w:i/>
          <w:iCs/>
        </w:rPr>
        <w:t>decisión que adopte en este proceso puede repercutir directamente en el clima laboral con</w:t>
      </w:r>
      <w:r w:rsidRPr="00137664">
        <w:rPr>
          <w:rFonts w:ascii="Arial" w:hAnsi="Arial" w:cs="Arial"/>
          <w:i/>
          <w:iCs/>
        </w:rPr>
        <w:t xml:space="preserve"> </w:t>
      </w:r>
      <w:r w:rsidRPr="00137664">
        <w:rPr>
          <w:rFonts w:ascii="Arial" w:hAnsi="Arial" w:cs="Arial"/>
          <w:i/>
          <w:iCs/>
        </w:rPr>
        <w:t>mi jefe inmediato, configurando un claro conflicto de intereses.</w:t>
      </w:r>
    </w:p>
    <w:p w14:paraId="594CD1A0" w14:textId="77777777" w:rsidR="00137664" w:rsidRPr="00137664" w:rsidRDefault="00137664" w:rsidP="00137664">
      <w:pPr>
        <w:pStyle w:val="Prrafodelista"/>
        <w:ind w:left="927" w:right="616"/>
        <w:rPr>
          <w:rFonts w:ascii="Arial" w:hAnsi="Arial" w:cs="Arial"/>
          <w:i/>
          <w:iCs/>
        </w:rPr>
      </w:pPr>
    </w:p>
    <w:p w14:paraId="3AD16482" w14:textId="0742D95D" w:rsidR="00137664" w:rsidRPr="00137664" w:rsidRDefault="00137664" w:rsidP="00137664">
      <w:pPr>
        <w:pStyle w:val="Prrafodelista"/>
        <w:numPr>
          <w:ilvl w:val="0"/>
          <w:numId w:val="6"/>
        </w:numPr>
        <w:ind w:right="616"/>
        <w:rPr>
          <w:rFonts w:ascii="Arial" w:hAnsi="Arial" w:cs="Arial"/>
          <w:i/>
          <w:iCs/>
        </w:rPr>
      </w:pPr>
      <w:r w:rsidRPr="00137664">
        <w:rPr>
          <w:rFonts w:ascii="Arial" w:hAnsi="Arial" w:cs="Arial"/>
          <w:i/>
          <w:iCs/>
        </w:rPr>
        <w:t>Artículo 104 de la Ley 1952 de 2019 (Código General Disciplinario): Invoco el Numeral</w:t>
      </w:r>
      <w:r w:rsidRPr="00137664">
        <w:rPr>
          <w:rFonts w:ascii="Arial" w:hAnsi="Arial" w:cs="Arial"/>
          <w:i/>
          <w:iCs/>
        </w:rPr>
        <w:t xml:space="preserve"> </w:t>
      </w:r>
      <w:r w:rsidRPr="00137664">
        <w:rPr>
          <w:rFonts w:ascii="Arial" w:hAnsi="Arial" w:cs="Arial"/>
          <w:i/>
          <w:iCs/>
        </w:rPr>
        <w:t>1 (interés directo) y la aplicación extensiva de los principios de transparencia y moralidad</w:t>
      </w:r>
      <w:r w:rsidRPr="00137664">
        <w:rPr>
          <w:rFonts w:ascii="Arial" w:hAnsi="Arial" w:cs="Arial"/>
          <w:i/>
          <w:iCs/>
        </w:rPr>
        <w:t xml:space="preserve"> </w:t>
      </w:r>
      <w:r w:rsidRPr="00137664">
        <w:rPr>
          <w:rFonts w:ascii="Arial" w:hAnsi="Arial" w:cs="Arial"/>
          <w:i/>
          <w:iCs/>
        </w:rPr>
        <w:t>administrativa, dado que la estrecha relación de subordinación laboral rompe la distancia y</w:t>
      </w:r>
      <w:r w:rsidRPr="00137664">
        <w:rPr>
          <w:rFonts w:ascii="Arial" w:hAnsi="Arial" w:cs="Arial"/>
          <w:i/>
          <w:iCs/>
        </w:rPr>
        <w:t xml:space="preserve"> </w:t>
      </w:r>
      <w:r w:rsidRPr="00137664">
        <w:rPr>
          <w:rFonts w:ascii="Arial" w:hAnsi="Arial" w:cs="Arial"/>
          <w:i/>
          <w:iCs/>
        </w:rPr>
        <w:t>neutralidad necesarias para actuar con absoluta independencia como operador público.</w:t>
      </w:r>
    </w:p>
    <w:p w14:paraId="36FC0183" w14:textId="77777777" w:rsidR="00137664" w:rsidRPr="00137664" w:rsidRDefault="00137664" w:rsidP="00137664">
      <w:pPr>
        <w:pStyle w:val="Prrafodelista"/>
        <w:rPr>
          <w:rFonts w:ascii="Arial" w:hAnsi="Arial" w:cs="Arial"/>
          <w:i/>
          <w:iCs/>
        </w:rPr>
      </w:pPr>
    </w:p>
    <w:p w14:paraId="50827991" w14:textId="77777777" w:rsidR="00137664" w:rsidRDefault="00137664" w:rsidP="00137664">
      <w:pPr>
        <w:pStyle w:val="Prrafodelista"/>
        <w:numPr>
          <w:ilvl w:val="0"/>
          <w:numId w:val="6"/>
        </w:numPr>
        <w:ind w:right="616"/>
        <w:rPr>
          <w:rFonts w:ascii="Arial" w:hAnsi="Arial" w:cs="Arial"/>
          <w:i/>
          <w:iCs/>
        </w:rPr>
      </w:pPr>
      <w:r w:rsidRPr="00137664">
        <w:rPr>
          <w:rFonts w:ascii="Arial" w:hAnsi="Arial" w:cs="Arial"/>
          <w:i/>
          <w:iCs/>
        </w:rPr>
        <w:t>Artículo 40 de la Ley 734 de 2002 (aplicable al régimen de conflicto de intereses): Norma</w:t>
      </w:r>
      <w:r>
        <w:rPr>
          <w:rFonts w:ascii="Arial" w:hAnsi="Arial" w:cs="Arial"/>
          <w:i/>
          <w:iCs/>
        </w:rPr>
        <w:t xml:space="preserve"> </w:t>
      </w:r>
      <w:r w:rsidRPr="00137664">
        <w:rPr>
          <w:rFonts w:ascii="Arial" w:hAnsi="Arial" w:cs="Arial"/>
          <w:i/>
          <w:iCs/>
        </w:rPr>
        <w:t>que impone el deber imperativo a todo servidor público de apartarse inmediatamente del</w:t>
      </w:r>
      <w:r>
        <w:rPr>
          <w:rFonts w:ascii="Arial" w:hAnsi="Arial" w:cs="Arial"/>
          <w:i/>
          <w:iCs/>
        </w:rPr>
        <w:t xml:space="preserve"> </w:t>
      </w:r>
      <w:r w:rsidRPr="00137664">
        <w:rPr>
          <w:rFonts w:ascii="Arial" w:hAnsi="Arial" w:cs="Arial"/>
          <w:i/>
          <w:iCs/>
        </w:rPr>
        <w:t>conocimiento de un asunto cuando existan factores que coarten su objetividad.</w:t>
      </w:r>
    </w:p>
    <w:p w14:paraId="387E9342" w14:textId="77777777" w:rsidR="00137664" w:rsidRPr="00137664" w:rsidRDefault="00137664" w:rsidP="00137664">
      <w:pPr>
        <w:pStyle w:val="Prrafodelista"/>
        <w:rPr>
          <w:rFonts w:ascii="Arial" w:hAnsi="Arial" w:cs="Arial"/>
          <w:i/>
          <w:iCs/>
        </w:rPr>
      </w:pPr>
    </w:p>
    <w:p w14:paraId="6E1DDFEF" w14:textId="5966354E" w:rsidR="00137664" w:rsidRPr="00137664" w:rsidRDefault="00137664" w:rsidP="00137664">
      <w:pPr>
        <w:ind w:left="426" w:right="616"/>
        <w:jc w:val="both"/>
        <w:rPr>
          <w:rFonts w:ascii="Arial" w:hAnsi="Arial" w:cs="Arial"/>
          <w:i/>
          <w:iCs/>
          <w:sz w:val="22"/>
          <w:szCs w:val="22"/>
        </w:rPr>
      </w:pPr>
      <w:r w:rsidRPr="00137664">
        <w:rPr>
          <w:rFonts w:ascii="Arial" w:hAnsi="Arial" w:cs="Arial"/>
          <w:i/>
          <w:iCs/>
          <w:sz w:val="22"/>
          <w:szCs w:val="22"/>
        </w:rPr>
        <w:t>Conforme lo anterior, y teniendo en cuenta que la Ley 1801 de 2016 en su artículo 229, remite</w:t>
      </w:r>
      <w:r w:rsidRPr="00137664">
        <w:rPr>
          <w:rFonts w:ascii="Arial" w:hAnsi="Arial" w:cs="Arial"/>
          <w:i/>
          <w:iCs/>
          <w:sz w:val="22"/>
          <w:szCs w:val="22"/>
        </w:rPr>
        <w:t xml:space="preserve"> </w:t>
      </w:r>
      <w:r w:rsidRPr="00137664">
        <w:rPr>
          <w:rFonts w:ascii="Arial" w:hAnsi="Arial" w:cs="Arial"/>
          <w:i/>
          <w:iCs/>
          <w:sz w:val="22"/>
          <w:szCs w:val="22"/>
        </w:rPr>
        <w:t>directamente a las disposiciones legales de la Ley 1437 de 2011, articulo 11 en situaciones de</w:t>
      </w:r>
      <w:r w:rsidRPr="00137664">
        <w:rPr>
          <w:rFonts w:ascii="Arial" w:hAnsi="Arial" w:cs="Arial"/>
          <w:i/>
          <w:iCs/>
          <w:sz w:val="22"/>
          <w:szCs w:val="22"/>
        </w:rPr>
        <w:t xml:space="preserve"> </w:t>
      </w:r>
      <w:r w:rsidRPr="00137664">
        <w:rPr>
          <w:rFonts w:ascii="Arial" w:hAnsi="Arial" w:cs="Arial"/>
          <w:i/>
          <w:iCs/>
          <w:sz w:val="22"/>
          <w:szCs w:val="22"/>
        </w:rPr>
        <w:t>impedimento y recusación, y a fin de no incurrir en falta disciplinaria grave conforme lo preceptúa</w:t>
      </w:r>
      <w:r w:rsidRPr="00137664">
        <w:rPr>
          <w:rFonts w:ascii="Arial" w:hAnsi="Arial" w:cs="Arial"/>
          <w:i/>
          <w:iCs/>
          <w:sz w:val="22"/>
          <w:szCs w:val="22"/>
        </w:rPr>
        <w:t xml:space="preserve"> </w:t>
      </w:r>
      <w:r w:rsidRPr="00137664">
        <w:rPr>
          <w:rFonts w:ascii="Arial" w:hAnsi="Arial" w:cs="Arial"/>
          <w:i/>
          <w:iCs/>
          <w:sz w:val="22"/>
          <w:szCs w:val="22"/>
        </w:rPr>
        <w:t>el articulo 48 numeral 17° de la Ley 734 de 2002 , en cumplimiento de mi deber legal como</w:t>
      </w:r>
      <w:r w:rsidRPr="00137664">
        <w:rPr>
          <w:rFonts w:ascii="Arial" w:hAnsi="Arial" w:cs="Arial"/>
          <w:i/>
          <w:iCs/>
          <w:sz w:val="22"/>
          <w:szCs w:val="22"/>
        </w:rPr>
        <w:t xml:space="preserve"> </w:t>
      </w:r>
      <w:r w:rsidRPr="00137664">
        <w:rPr>
          <w:rFonts w:ascii="Arial" w:hAnsi="Arial" w:cs="Arial"/>
          <w:i/>
          <w:iCs/>
          <w:sz w:val="22"/>
          <w:szCs w:val="22"/>
        </w:rPr>
        <w:t>funcionaria pública, manifiesto que me encuentro incursa en causal de impedimento, para tramitar</w:t>
      </w:r>
      <w:r w:rsidRPr="00137664">
        <w:rPr>
          <w:rFonts w:ascii="Arial" w:hAnsi="Arial" w:cs="Arial"/>
          <w:i/>
          <w:iCs/>
          <w:sz w:val="22"/>
          <w:szCs w:val="22"/>
        </w:rPr>
        <w:t xml:space="preserve"> </w:t>
      </w:r>
      <w:r w:rsidRPr="00137664">
        <w:rPr>
          <w:rFonts w:ascii="Arial" w:hAnsi="Arial" w:cs="Arial"/>
          <w:i/>
          <w:iCs/>
          <w:sz w:val="22"/>
          <w:szCs w:val="22"/>
        </w:rPr>
        <w:t>y adelantar la etapa procesal de la querella policiva CCIEP-04-2026 (audiencia Art. 223 nral. 3 literal</w:t>
      </w:r>
      <w:r w:rsidRPr="00137664">
        <w:rPr>
          <w:rFonts w:ascii="Arial" w:hAnsi="Arial" w:cs="Arial"/>
          <w:i/>
          <w:iCs/>
          <w:sz w:val="22"/>
          <w:szCs w:val="22"/>
        </w:rPr>
        <w:t xml:space="preserve"> </w:t>
      </w:r>
      <w:r w:rsidRPr="00137664">
        <w:rPr>
          <w:rFonts w:ascii="Arial" w:hAnsi="Arial" w:cs="Arial"/>
          <w:i/>
          <w:iCs/>
          <w:sz w:val="22"/>
          <w:szCs w:val="22"/>
        </w:rPr>
        <w:t>D).</w:t>
      </w:r>
    </w:p>
    <w:p w14:paraId="28BD1FAA" w14:textId="77777777" w:rsidR="00137664" w:rsidRPr="00137664" w:rsidRDefault="00137664" w:rsidP="00137664">
      <w:pPr>
        <w:ind w:left="426" w:right="616"/>
        <w:jc w:val="both"/>
        <w:rPr>
          <w:rFonts w:ascii="Arial" w:hAnsi="Arial" w:cs="Arial"/>
          <w:i/>
          <w:iCs/>
          <w:sz w:val="22"/>
          <w:szCs w:val="22"/>
        </w:rPr>
      </w:pPr>
    </w:p>
    <w:p w14:paraId="1AAE12EB" w14:textId="654C628E" w:rsidR="00137664" w:rsidRPr="00137664" w:rsidRDefault="00137664" w:rsidP="00137664">
      <w:pPr>
        <w:ind w:left="426" w:right="616"/>
        <w:jc w:val="both"/>
        <w:rPr>
          <w:rFonts w:ascii="Arial" w:hAnsi="Arial" w:cs="Arial"/>
          <w:i/>
          <w:iCs/>
          <w:sz w:val="22"/>
          <w:szCs w:val="22"/>
        </w:rPr>
      </w:pPr>
      <w:r w:rsidRPr="00137664">
        <w:rPr>
          <w:rFonts w:ascii="Arial" w:hAnsi="Arial" w:cs="Arial"/>
          <w:i/>
          <w:iCs/>
          <w:sz w:val="22"/>
          <w:szCs w:val="22"/>
        </w:rPr>
        <w:t>Por lo anteriormente expuesto, dejo a su honorable despacho la decisión que considere acorde a</w:t>
      </w:r>
      <w:r w:rsidRPr="00137664">
        <w:rPr>
          <w:rFonts w:ascii="Arial" w:hAnsi="Arial" w:cs="Arial"/>
          <w:i/>
          <w:iCs/>
          <w:sz w:val="22"/>
          <w:szCs w:val="22"/>
        </w:rPr>
        <w:t xml:space="preserve"> </w:t>
      </w:r>
      <w:r w:rsidRPr="00137664">
        <w:rPr>
          <w:rFonts w:ascii="Arial" w:hAnsi="Arial" w:cs="Arial"/>
          <w:i/>
          <w:iCs/>
          <w:sz w:val="22"/>
          <w:szCs w:val="22"/>
        </w:rPr>
        <w:t>los antecedentes.</w:t>
      </w:r>
    </w:p>
    <w:p w14:paraId="1500BC26" w14:textId="77777777" w:rsidR="00137664" w:rsidRPr="00137664" w:rsidRDefault="00137664" w:rsidP="00137664">
      <w:pPr>
        <w:ind w:left="426" w:right="616"/>
        <w:jc w:val="both"/>
        <w:rPr>
          <w:rFonts w:ascii="Arial" w:hAnsi="Arial" w:cs="Arial"/>
          <w:i/>
          <w:iCs/>
          <w:sz w:val="22"/>
          <w:szCs w:val="22"/>
        </w:rPr>
      </w:pPr>
    </w:p>
    <w:p w14:paraId="698AA03A" w14:textId="3E6DCA90" w:rsidR="00137664" w:rsidRPr="00137664" w:rsidRDefault="00137664" w:rsidP="00137664">
      <w:pPr>
        <w:ind w:left="426" w:right="616"/>
        <w:jc w:val="both"/>
        <w:rPr>
          <w:rFonts w:ascii="Arial" w:hAnsi="Arial" w:cs="Arial"/>
          <w:i/>
          <w:iCs/>
          <w:sz w:val="22"/>
          <w:szCs w:val="22"/>
        </w:rPr>
      </w:pPr>
      <w:r w:rsidRPr="00137664">
        <w:rPr>
          <w:rFonts w:ascii="Arial" w:hAnsi="Arial" w:cs="Arial"/>
          <w:i/>
          <w:iCs/>
          <w:sz w:val="22"/>
          <w:szCs w:val="22"/>
        </w:rPr>
        <w:t>No obstante, lo anterior, acatare de manera inmediata la decisión de su despacho.</w:t>
      </w:r>
    </w:p>
    <w:p w14:paraId="79CD55AF" w14:textId="77777777" w:rsidR="00137664" w:rsidRDefault="00137664" w:rsidP="00C01EFE">
      <w:pPr>
        <w:jc w:val="both"/>
        <w:rPr>
          <w:rFonts w:ascii="Arial" w:hAnsi="Arial" w:cs="Arial"/>
          <w:sz w:val="22"/>
          <w:szCs w:val="22"/>
        </w:rPr>
      </w:pPr>
    </w:p>
    <w:p w14:paraId="1927C1C3" w14:textId="4F4D7ED6" w:rsidR="00346CF1" w:rsidRPr="004C60DC" w:rsidRDefault="00346CF1" w:rsidP="00C01EFE">
      <w:pPr>
        <w:jc w:val="both"/>
        <w:rPr>
          <w:rFonts w:ascii="Arial" w:eastAsia="Times New Roman" w:hAnsi="Arial" w:cs="Arial"/>
          <w:color w:val="000000" w:themeColor="text1"/>
          <w:sz w:val="22"/>
          <w:szCs w:val="22"/>
        </w:rPr>
      </w:pPr>
      <w:r w:rsidRPr="004C60DC">
        <w:rPr>
          <w:rFonts w:ascii="Arial" w:hAnsi="Arial" w:cs="Arial"/>
          <w:sz w:val="22"/>
          <w:szCs w:val="22"/>
        </w:rPr>
        <w:t>Que el artículo 11 de la Ley 1437 de 2011 establece las causales de impedimento y recusación aplicables a toda actuación administrativa, señalando en su numeral 1 que constituye causal de impedimento:</w:t>
      </w:r>
    </w:p>
    <w:p w14:paraId="7213A0F2" w14:textId="76124910" w:rsidR="00346CF1" w:rsidRPr="004C60DC" w:rsidRDefault="00346CF1" w:rsidP="00C01EFE">
      <w:pPr>
        <w:jc w:val="both"/>
        <w:rPr>
          <w:rFonts w:ascii="Arial" w:eastAsia="Times New Roman" w:hAnsi="Arial" w:cs="Arial"/>
          <w:b/>
          <w:bCs/>
          <w:i/>
          <w:iCs/>
          <w:color w:val="000000" w:themeColor="text1"/>
          <w:sz w:val="22"/>
          <w:szCs w:val="22"/>
        </w:rPr>
      </w:pPr>
    </w:p>
    <w:p w14:paraId="43CD13F3" w14:textId="0EF21C7B" w:rsidR="00346CF1" w:rsidRPr="00A37E7A" w:rsidRDefault="00A37E7A" w:rsidP="00A37E7A">
      <w:pPr>
        <w:pStyle w:val="Prrafodelista"/>
        <w:numPr>
          <w:ilvl w:val="0"/>
          <w:numId w:val="7"/>
        </w:numPr>
        <w:rPr>
          <w:rFonts w:ascii="Arial" w:hAnsi="Arial" w:cs="Arial"/>
          <w:b/>
          <w:bCs/>
          <w:i/>
          <w:iCs/>
        </w:rPr>
      </w:pPr>
      <w:r w:rsidRPr="00A37E7A">
        <w:rPr>
          <w:rFonts w:ascii="Arial" w:hAnsi="Arial" w:cs="Arial"/>
          <w:b/>
          <w:bCs/>
          <w:i/>
          <w:iCs/>
        </w:rPr>
        <w:t>Tener interés particular y directo en la regulación, gestión, control o decisión del asunto, o tenerlo su cónyuge, compañero o compañera permanente, o alguno de sus parientes dentro del cuarto grado de consanguinidad, segundo de afinidad o primero civil, o su socio o socios de hecho o de derecho.</w:t>
      </w:r>
    </w:p>
    <w:p w14:paraId="624512E1" w14:textId="77777777" w:rsidR="00A37E7A" w:rsidRPr="00A37E7A" w:rsidRDefault="00A37E7A" w:rsidP="00A37E7A">
      <w:pPr>
        <w:pStyle w:val="Prrafodelista"/>
        <w:rPr>
          <w:rFonts w:ascii="Arial" w:hAnsi="Arial" w:cs="Arial"/>
          <w:b/>
          <w:bCs/>
          <w:i/>
          <w:iCs/>
        </w:rPr>
      </w:pPr>
    </w:p>
    <w:p w14:paraId="1A25C613" w14:textId="6D34A37B" w:rsidR="00346CF1" w:rsidRPr="004C60DC" w:rsidRDefault="00346CF1" w:rsidP="00C01EFE">
      <w:pPr>
        <w:jc w:val="both"/>
        <w:rPr>
          <w:rFonts w:ascii="Arial" w:hAnsi="Arial" w:cs="Arial"/>
          <w:sz w:val="22"/>
          <w:szCs w:val="22"/>
        </w:rPr>
      </w:pPr>
      <w:r w:rsidRPr="004C60DC">
        <w:rPr>
          <w:rFonts w:ascii="Arial" w:hAnsi="Arial" w:cs="Arial"/>
          <w:sz w:val="22"/>
          <w:szCs w:val="22"/>
        </w:rPr>
        <w:t>Que la finalidad del régimen de impedimentos y recusaciones consiste en garantizar los principios constitucionales de imparcialidad, moralidad, transparencia, objetividad y debido proceso que orientan el ejercicio de la función administrativa, conforme a lo dispuesto en los artículos 2, 6, 29 y 209 de la Constitución Política.</w:t>
      </w:r>
    </w:p>
    <w:p w14:paraId="17708DE9" w14:textId="5400F098" w:rsidR="00346CF1" w:rsidRPr="004C60DC" w:rsidRDefault="00346CF1" w:rsidP="00C01EFE">
      <w:pPr>
        <w:jc w:val="both"/>
        <w:rPr>
          <w:rFonts w:ascii="Arial" w:hAnsi="Arial" w:cs="Arial"/>
          <w:sz w:val="22"/>
          <w:szCs w:val="22"/>
        </w:rPr>
      </w:pPr>
    </w:p>
    <w:p w14:paraId="431AE5F7" w14:textId="73DF6F45" w:rsidR="00346CF1" w:rsidRPr="004C60DC" w:rsidRDefault="00346CF1" w:rsidP="00C01EFE">
      <w:pPr>
        <w:jc w:val="both"/>
        <w:rPr>
          <w:rFonts w:ascii="Arial" w:hAnsi="Arial" w:cs="Arial"/>
          <w:sz w:val="22"/>
          <w:szCs w:val="22"/>
        </w:rPr>
      </w:pPr>
      <w:r w:rsidRPr="004C60DC">
        <w:rPr>
          <w:rFonts w:ascii="Arial" w:hAnsi="Arial" w:cs="Arial"/>
          <w:sz w:val="22"/>
          <w:szCs w:val="22"/>
        </w:rPr>
        <w:t>Que el Consejo de Estado ha sostenido reiteradamente que las causales de impedimento buscan preservar no solamente la imparcialidad real del servidor público, sino también la confianza y credibilidad de los administrados frente a las decisiones de la administración,</w:t>
      </w:r>
      <w:r w:rsidRPr="004C60DC">
        <w:rPr>
          <w:sz w:val="22"/>
          <w:szCs w:val="22"/>
        </w:rPr>
        <w:t xml:space="preserve"> </w:t>
      </w:r>
      <w:r w:rsidRPr="004C60DC">
        <w:rPr>
          <w:rFonts w:ascii="Arial" w:hAnsi="Arial" w:cs="Arial"/>
          <w:sz w:val="22"/>
          <w:szCs w:val="22"/>
        </w:rPr>
        <w:lastRenderedPageBreak/>
        <w:t>evitando cualquier circunstancia que razonablemente pueda afectar la independencia del funcionario competente para decidir.</w:t>
      </w:r>
    </w:p>
    <w:p w14:paraId="6B016EC9" w14:textId="31040D35" w:rsidR="00346CF1" w:rsidRPr="004C60DC" w:rsidRDefault="00346CF1" w:rsidP="00C01EFE">
      <w:pPr>
        <w:jc w:val="both"/>
        <w:rPr>
          <w:rFonts w:ascii="Arial" w:hAnsi="Arial" w:cs="Arial"/>
          <w:sz w:val="22"/>
          <w:szCs w:val="22"/>
        </w:rPr>
      </w:pPr>
    </w:p>
    <w:p w14:paraId="037B6B39" w14:textId="4857D2A4" w:rsidR="00346CF1" w:rsidRPr="004C60DC" w:rsidRDefault="00346CF1" w:rsidP="00C01EFE">
      <w:pPr>
        <w:jc w:val="both"/>
        <w:rPr>
          <w:rFonts w:ascii="Arial" w:hAnsi="Arial" w:cs="Arial"/>
          <w:sz w:val="22"/>
          <w:szCs w:val="22"/>
        </w:rPr>
      </w:pPr>
      <w:r w:rsidRPr="004C60DC">
        <w:rPr>
          <w:rFonts w:ascii="Arial" w:hAnsi="Arial" w:cs="Arial"/>
          <w:sz w:val="22"/>
          <w:szCs w:val="22"/>
        </w:rPr>
        <w:t>Que el artículo 229 de la Ley 1801 de 2016 dispone que, en materia de impedimentos y recusaciones dentro de los procedimientos policivos, serán aplicables las disposiciones contenidas en el Código de Procedimiento Administrativo y de lo Contencioso Administrativo.</w:t>
      </w:r>
    </w:p>
    <w:p w14:paraId="6E89A0A2" w14:textId="77777777" w:rsidR="007B2A85" w:rsidRDefault="007B2A85" w:rsidP="008F4A7F">
      <w:pPr>
        <w:jc w:val="both"/>
        <w:rPr>
          <w:rFonts w:ascii="Arial" w:eastAsia="Times New Roman" w:hAnsi="Arial" w:cs="Arial"/>
          <w:color w:val="000000" w:themeColor="text1"/>
          <w:sz w:val="22"/>
          <w:szCs w:val="22"/>
        </w:rPr>
      </w:pPr>
    </w:p>
    <w:p w14:paraId="609187A5" w14:textId="77777777" w:rsidR="001E1C2A" w:rsidRPr="00161AE6" w:rsidRDefault="001E1C2A" w:rsidP="001E1C2A">
      <w:pPr>
        <w:widowControl w:val="0"/>
        <w:spacing w:before="100" w:beforeAutospacing="1" w:after="100" w:afterAutospacing="1"/>
        <w:contextualSpacing/>
        <w:jc w:val="both"/>
        <w:rPr>
          <w:rFonts w:ascii="Arial" w:eastAsia="Arial" w:hAnsi="Arial" w:cs="Arial"/>
          <w:b/>
          <w:bCs/>
          <w:sz w:val="22"/>
          <w:szCs w:val="22"/>
        </w:rPr>
      </w:pPr>
      <w:r w:rsidRPr="00161AE6">
        <w:rPr>
          <w:rFonts w:ascii="Arial" w:eastAsia="Arial" w:hAnsi="Arial" w:cs="Arial"/>
          <w:b/>
          <w:bCs/>
          <w:sz w:val="22"/>
          <w:szCs w:val="22"/>
        </w:rPr>
        <w:t>NATURALEZA JURÍDICA DE LAS FIGURAS DE LA RECUSACIÓN Y EL IMPEDIMENTO.</w:t>
      </w:r>
    </w:p>
    <w:p w14:paraId="4A0DB5EF" w14:textId="77777777" w:rsidR="001E1C2A" w:rsidRPr="00161AE6" w:rsidRDefault="001E1C2A" w:rsidP="001E1C2A">
      <w:pPr>
        <w:widowControl w:val="0"/>
        <w:spacing w:before="100" w:beforeAutospacing="1" w:after="100" w:afterAutospacing="1"/>
        <w:contextualSpacing/>
        <w:jc w:val="both"/>
        <w:rPr>
          <w:rFonts w:ascii="Arial" w:eastAsia="Arial" w:hAnsi="Arial" w:cs="Arial"/>
          <w:sz w:val="22"/>
          <w:szCs w:val="22"/>
        </w:rPr>
      </w:pPr>
    </w:p>
    <w:p w14:paraId="0B09685F" w14:textId="77777777" w:rsidR="001E1C2A" w:rsidRPr="00161AE6" w:rsidRDefault="001E1C2A" w:rsidP="001E1C2A">
      <w:pPr>
        <w:widowControl w:val="0"/>
        <w:spacing w:before="100" w:beforeAutospacing="1" w:after="100" w:afterAutospacing="1"/>
        <w:contextualSpacing/>
        <w:jc w:val="both"/>
        <w:rPr>
          <w:rFonts w:ascii="Arial" w:eastAsia="Arial" w:hAnsi="Arial" w:cs="Arial"/>
          <w:sz w:val="22"/>
          <w:szCs w:val="22"/>
        </w:rPr>
      </w:pPr>
      <w:r w:rsidRPr="00161AE6">
        <w:rPr>
          <w:rFonts w:ascii="Arial" w:eastAsia="Arial" w:hAnsi="Arial" w:cs="Arial"/>
          <w:sz w:val="22"/>
          <w:szCs w:val="22"/>
        </w:rPr>
        <w:t>La razón de ser de los impedimentos es alejar al funcionario o al juez, de cualquier circunstancia o elemento que pueda perturbar su objetividad al momento de decidir. Su actividad dentro del proceso no debe estar en entredicho, su imparcialidad, transparencia y manejo objetivo del mismo y la decisión, deben darle seguridad jurídica y psicológica a quien ha puesto en la justicia la solución de su conflicto.</w:t>
      </w:r>
    </w:p>
    <w:p w14:paraId="02F5B020" w14:textId="77777777" w:rsidR="001E1C2A" w:rsidRPr="00161AE6" w:rsidRDefault="001E1C2A" w:rsidP="001E1C2A">
      <w:pPr>
        <w:widowControl w:val="0"/>
        <w:spacing w:before="100" w:beforeAutospacing="1" w:after="100" w:afterAutospacing="1"/>
        <w:contextualSpacing/>
        <w:jc w:val="both"/>
        <w:rPr>
          <w:rFonts w:ascii="Arial" w:eastAsia="Arial" w:hAnsi="Arial" w:cs="Arial"/>
          <w:sz w:val="22"/>
          <w:szCs w:val="22"/>
        </w:rPr>
      </w:pPr>
    </w:p>
    <w:p w14:paraId="2672642A" w14:textId="77777777" w:rsidR="001E1C2A" w:rsidRPr="00161AE6" w:rsidRDefault="001E1C2A" w:rsidP="001E1C2A">
      <w:pPr>
        <w:widowControl w:val="0"/>
        <w:spacing w:before="100" w:beforeAutospacing="1" w:after="100" w:afterAutospacing="1"/>
        <w:contextualSpacing/>
        <w:jc w:val="both"/>
        <w:rPr>
          <w:rFonts w:ascii="Arial" w:eastAsia="Arial" w:hAnsi="Arial" w:cs="Arial"/>
          <w:sz w:val="22"/>
          <w:szCs w:val="22"/>
        </w:rPr>
      </w:pPr>
      <w:r w:rsidRPr="00161AE6">
        <w:rPr>
          <w:rFonts w:ascii="Arial" w:eastAsia="Arial" w:hAnsi="Arial" w:cs="Arial"/>
          <w:sz w:val="22"/>
          <w:szCs w:val="22"/>
        </w:rPr>
        <w:t xml:space="preserve">Esta institución, de naturaleza eminentemente procedimental, encuentra su fundamento Constitucional en el derecho fundamental al debido proceso, dado que toda actuación judicial o administrativa se debe desarrollar bajo la presunción de imparcialidad y la garantía que el funcionario actúa sin prevenciones que puedan favorecer o perjudicar a una de las partes. </w:t>
      </w:r>
    </w:p>
    <w:p w14:paraId="0D795D01" w14:textId="77777777" w:rsidR="001E1C2A" w:rsidRPr="00161AE6" w:rsidRDefault="001E1C2A" w:rsidP="001E1C2A">
      <w:pPr>
        <w:widowControl w:val="0"/>
        <w:spacing w:before="100" w:beforeAutospacing="1" w:after="100" w:afterAutospacing="1"/>
        <w:contextualSpacing/>
        <w:jc w:val="both"/>
        <w:rPr>
          <w:rFonts w:ascii="Arial" w:eastAsia="Arial" w:hAnsi="Arial" w:cs="Arial"/>
          <w:sz w:val="22"/>
          <w:szCs w:val="22"/>
        </w:rPr>
      </w:pPr>
    </w:p>
    <w:p w14:paraId="03F1AD42" w14:textId="77777777" w:rsidR="001E1C2A" w:rsidRPr="00161AE6" w:rsidRDefault="001E1C2A" w:rsidP="001E1C2A">
      <w:pPr>
        <w:widowControl w:val="0"/>
        <w:spacing w:before="100" w:beforeAutospacing="1" w:after="100" w:afterAutospacing="1"/>
        <w:contextualSpacing/>
        <w:jc w:val="both"/>
        <w:rPr>
          <w:rFonts w:ascii="Arial" w:eastAsia="Arial" w:hAnsi="Arial" w:cs="Arial"/>
          <w:sz w:val="22"/>
          <w:szCs w:val="22"/>
        </w:rPr>
      </w:pPr>
      <w:r w:rsidRPr="00161AE6">
        <w:rPr>
          <w:rFonts w:ascii="Arial" w:eastAsia="Arial" w:hAnsi="Arial" w:cs="Arial"/>
          <w:sz w:val="22"/>
          <w:szCs w:val="22"/>
        </w:rPr>
        <w:t>Sobre la finalidad de esta figura procesal la Corte Constitucional en sentencia C-573 de 1998 con ponencia del Dr. José Gregorio Hernández Galindo señaló:</w:t>
      </w:r>
    </w:p>
    <w:p w14:paraId="699071CC" w14:textId="77777777" w:rsidR="001E1C2A" w:rsidRPr="00161AE6" w:rsidRDefault="001E1C2A" w:rsidP="001E1C2A">
      <w:pPr>
        <w:widowControl w:val="0"/>
        <w:spacing w:before="100" w:beforeAutospacing="1" w:after="100" w:afterAutospacing="1"/>
        <w:contextualSpacing/>
        <w:jc w:val="both"/>
        <w:rPr>
          <w:rFonts w:ascii="Arial" w:eastAsia="Arial" w:hAnsi="Arial" w:cs="Arial"/>
          <w:sz w:val="22"/>
          <w:szCs w:val="22"/>
        </w:rPr>
      </w:pPr>
    </w:p>
    <w:p w14:paraId="656AA17C" w14:textId="77777777" w:rsidR="001E1C2A" w:rsidRPr="00161AE6" w:rsidRDefault="001E1C2A" w:rsidP="001E1C2A">
      <w:pPr>
        <w:widowControl w:val="0"/>
        <w:spacing w:before="100" w:beforeAutospacing="1" w:after="100" w:afterAutospacing="1"/>
        <w:ind w:left="426" w:right="423"/>
        <w:contextualSpacing/>
        <w:jc w:val="both"/>
        <w:rPr>
          <w:rFonts w:ascii="Arial" w:eastAsia="Arial" w:hAnsi="Arial" w:cs="Arial"/>
          <w:i/>
          <w:iCs/>
          <w:sz w:val="22"/>
          <w:szCs w:val="22"/>
        </w:rPr>
      </w:pPr>
      <w:r w:rsidRPr="00161AE6">
        <w:rPr>
          <w:rFonts w:ascii="Arial" w:eastAsia="Arial" w:hAnsi="Arial" w:cs="Arial"/>
          <w:i/>
          <w:iCs/>
          <w:sz w:val="22"/>
          <w:szCs w:val="22"/>
        </w:rPr>
        <w:t>“El propósito de las instituciones procesales de impedimentos y recusaciones consiste en asegurar la imparcialidad del juez, quien debe marginarse del proceso del cual viene conociendo cuando se configura, en su caso específico, alguna de las causas taxativamente señaladas en la ley.”</w:t>
      </w:r>
    </w:p>
    <w:p w14:paraId="46C1EDFC" w14:textId="77777777" w:rsidR="001E1C2A" w:rsidRPr="00161AE6" w:rsidRDefault="001E1C2A" w:rsidP="001E1C2A">
      <w:pPr>
        <w:widowControl w:val="0"/>
        <w:spacing w:before="100" w:beforeAutospacing="1" w:after="100" w:afterAutospacing="1"/>
        <w:contextualSpacing/>
        <w:jc w:val="both"/>
        <w:rPr>
          <w:rFonts w:ascii="Arial" w:eastAsia="Arial" w:hAnsi="Arial" w:cs="Arial"/>
          <w:sz w:val="22"/>
          <w:szCs w:val="22"/>
        </w:rPr>
      </w:pPr>
    </w:p>
    <w:p w14:paraId="18D3B185" w14:textId="039BF7F7" w:rsidR="001E1C2A" w:rsidRPr="00161AE6" w:rsidRDefault="001E1C2A" w:rsidP="001E1C2A">
      <w:pPr>
        <w:widowControl w:val="0"/>
        <w:spacing w:before="100" w:beforeAutospacing="1" w:after="100" w:afterAutospacing="1"/>
        <w:contextualSpacing/>
        <w:jc w:val="both"/>
        <w:rPr>
          <w:rFonts w:ascii="Arial" w:eastAsia="Arial" w:hAnsi="Arial" w:cs="Arial"/>
          <w:sz w:val="22"/>
          <w:szCs w:val="22"/>
        </w:rPr>
      </w:pPr>
      <w:r w:rsidRPr="00161AE6">
        <w:rPr>
          <w:rFonts w:ascii="Arial" w:eastAsia="Arial" w:hAnsi="Arial" w:cs="Arial"/>
          <w:sz w:val="22"/>
          <w:szCs w:val="22"/>
        </w:rPr>
        <w:t xml:space="preserve">Así mismo, cabe recordar que doctrinariamente el impedimento se ha entendido como la acción de apartarse o desprenderse del asunto sometido a su conocimiento, por parte del juez, en razón de que considere que se configuran algunas de las causales que consagra la ley como inhabilidad para conocerlo; esto es, </w:t>
      </w:r>
      <w:r w:rsidR="009B0E19" w:rsidRPr="00161AE6">
        <w:rPr>
          <w:rFonts w:ascii="Arial" w:eastAsia="Arial" w:hAnsi="Arial" w:cs="Arial"/>
          <w:sz w:val="22"/>
          <w:szCs w:val="22"/>
        </w:rPr>
        <w:t>que,</w:t>
      </w:r>
      <w:r w:rsidRPr="00161AE6">
        <w:rPr>
          <w:rFonts w:ascii="Arial" w:eastAsia="Arial" w:hAnsi="Arial" w:cs="Arial"/>
          <w:sz w:val="22"/>
          <w:szCs w:val="22"/>
        </w:rPr>
        <w:t xml:space="preserve"> al juez en el impedimento, según el dicho de Eduardo J. Couture, lo aparta la ley, mientras que en la recusación lo separa el litigante. Dichas causales son expresas y taxativas y, por ende, no admiten analogía.</w:t>
      </w:r>
    </w:p>
    <w:p w14:paraId="0C4DEE0C" w14:textId="77777777" w:rsidR="001E1C2A" w:rsidRPr="00161AE6" w:rsidRDefault="001E1C2A" w:rsidP="001E1C2A">
      <w:pPr>
        <w:widowControl w:val="0"/>
        <w:spacing w:before="100" w:beforeAutospacing="1" w:after="100" w:afterAutospacing="1"/>
        <w:contextualSpacing/>
        <w:jc w:val="both"/>
        <w:rPr>
          <w:rFonts w:ascii="Arial" w:eastAsia="Arial" w:hAnsi="Arial" w:cs="Arial"/>
          <w:sz w:val="22"/>
          <w:szCs w:val="22"/>
        </w:rPr>
      </w:pPr>
    </w:p>
    <w:p w14:paraId="24B1F4B7" w14:textId="4DFEA766" w:rsidR="001E1C2A" w:rsidRPr="00161AE6" w:rsidRDefault="001E1C2A" w:rsidP="001E1C2A">
      <w:pPr>
        <w:widowControl w:val="0"/>
        <w:spacing w:before="100" w:beforeAutospacing="1" w:after="100" w:afterAutospacing="1"/>
        <w:contextualSpacing/>
        <w:jc w:val="both"/>
        <w:rPr>
          <w:rFonts w:ascii="Arial" w:eastAsia="Arial" w:hAnsi="Arial" w:cs="Arial"/>
          <w:sz w:val="22"/>
          <w:szCs w:val="22"/>
        </w:rPr>
      </w:pPr>
      <w:bookmarkStart w:id="0" w:name="_Int_RFFY0oFv"/>
      <w:r w:rsidRPr="00161AE6">
        <w:rPr>
          <w:rFonts w:ascii="Arial" w:eastAsia="Arial" w:hAnsi="Arial" w:cs="Arial"/>
          <w:sz w:val="22"/>
          <w:szCs w:val="22"/>
        </w:rPr>
        <w:t>De tal manera que ha de entenderse que las causales de impedimento y recusación que deben aplicarse son las establecidas en el ordenamiento procesal de que trata la materia objeto de la litis, para nuestro caso, la Ley 1</w:t>
      </w:r>
      <w:r w:rsidR="007C1277">
        <w:rPr>
          <w:rFonts w:ascii="Arial" w:eastAsia="Arial" w:hAnsi="Arial" w:cs="Arial"/>
          <w:sz w:val="22"/>
          <w:szCs w:val="22"/>
        </w:rPr>
        <w:t>437</w:t>
      </w:r>
      <w:r w:rsidRPr="00161AE6">
        <w:rPr>
          <w:rFonts w:ascii="Arial" w:eastAsia="Arial" w:hAnsi="Arial" w:cs="Arial"/>
          <w:sz w:val="22"/>
          <w:szCs w:val="22"/>
        </w:rPr>
        <w:t xml:space="preserve"> de 201</w:t>
      </w:r>
      <w:r w:rsidR="007C1277">
        <w:rPr>
          <w:rFonts w:ascii="Arial" w:eastAsia="Arial" w:hAnsi="Arial" w:cs="Arial"/>
          <w:sz w:val="22"/>
          <w:szCs w:val="22"/>
        </w:rPr>
        <w:t>1</w:t>
      </w:r>
      <w:r w:rsidRPr="00161AE6">
        <w:rPr>
          <w:rFonts w:ascii="Arial" w:eastAsia="Arial" w:hAnsi="Arial" w:cs="Arial"/>
          <w:sz w:val="22"/>
          <w:szCs w:val="22"/>
        </w:rPr>
        <w:t>.</w:t>
      </w:r>
      <w:bookmarkEnd w:id="0"/>
      <w:r w:rsidRPr="00161AE6">
        <w:rPr>
          <w:rFonts w:ascii="Arial" w:eastAsia="Arial" w:hAnsi="Arial" w:cs="Arial"/>
          <w:sz w:val="22"/>
          <w:szCs w:val="22"/>
        </w:rPr>
        <w:t xml:space="preserve"> </w:t>
      </w:r>
    </w:p>
    <w:p w14:paraId="5A05C65A" w14:textId="77777777" w:rsidR="001E1C2A" w:rsidRPr="00161AE6" w:rsidRDefault="001E1C2A" w:rsidP="001E1C2A">
      <w:pPr>
        <w:widowControl w:val="0"/>
        <w:spacing w:before="100" w:beforeAutospacing="1" w:after="100" w:afterAutospacing="1"/>
        <w:contextualSpacing/>
        <w:jc w:val="both"/>
        <w:rPr>
          <w:rFonts w:ascii="Arial" w:eastAsia="Arial" w:hAnsi="Arial" w:cs="Arial"/>
          <w:sz w:val="22"/>
          <w:szCs w:val="22"/>
        </w:rPr>
      </w:pPr>
    </w:p>
    <w:p w14:paraId="2A975B8A" w14:textId="77777777" w:rsidR="001E1C2A" w:rsidRPr="00161AE6" w:rsidRDefault="001E1C2A" w:rsidP="001E1C2A">
      <w:pPr>
        <w:widowControl w:val="0"/>
        <w:spacing w:before="100" w:beforeAutospacing="1" w:after="100" w:afterAutospacing="1"/>
        <w:contextualSpacing/>
        <w:jc w:val="both"/>
        <w:rPr>
          <w:rFonts w:ascii="Arial" w:eastAsia="Arial" w:hAnsi="Arial" w:cs="Arial"/>
          <w:sz w:val="22"/>
          <w:szCs w:val="22"/>
        </w:rPr>
      </w:pPr>
      <w:r w:rsidRPr="00161AE6">
        <w:rPr>
          <w:rFonts w:ascii="Arial" w:eastAsia="Arial" w:hAnsi="Arial" w:cs="Arial"/>
          <w:sz w:val="22"/>
          <w:szCs w:val="22"/>
        </w:rPr>
        <w:t>De otra parte, la Corte Constitucional en Sentencia C-496 de 2016 señaló:</w:t>
      </w:r>
    </w:p>
    <w:p w14:paraId="0B9F85BE" w14:textId="77777777" w:rsidR="001E1C2A" w:rsidRPr="00161AE6" w:rsidRDefault="001E1C2A" w:rsidP="001E1C2A">
      <w:pPr>
        <w:widowControl w:val="0"/>
        <w:spacing w:before="100" w:beforeAutospacing="1" w:after="100" w:afterAutospacing="1"/>
        <w:contextualSpacing/>
        <w:jc w:val="both"/>
        <w:rPr>
          <w:rFonts w:ascii="Arial" w:eastAsia="Arial" w:hAnsi="Arial" w:cs="Arial"/>
          <w:sz w:val="22"/>
          <w:szCs w:val="22"/>
        </w:rPr>
      </w:pPr>
    </w:p>
    <w:p w14:paraId="01DA7DE1" w14:textId="77777777" w:rsidR="001E1C2A" w:rsidRPr="00161AE6" w:rsidRDefault="001E1C2A" w:rsidP="001E1C2A">
      <w:pPr>
        <w:widowControl w:val="0"/>
        <w:spacing w:before="100" w:beforeAutospacing="1" w:after="100" w:afterAutospacing="1"/>
        <w:ind w:left="567" w:right="423"/>
        <w:contextualSpacing/>
        <w:jc w:val="both"/>
        <w:rPr>
          <w:rFonts w:ascii="Arial" w:eastAsia="Arial" w:hAnsi="Arial" w:cs="Arial"/>
          <w:i/>
          <w:iCs/>
          <w:sz w:val="22"/>
          <w:szCs w:val="22"/>
        </w:rPr>
      </w:pPr>
      <w:r w:rsidRPr="00161AE6">
        <w:rPr>
          <w:rFonts w:ascii="Arial" w:eastAsia="Arial" w:hAnsi="Arial" w:cs="Arial"/>
          <w:i/>
          <w:iCs/>
          <w:sz w:val="22"/>
          <w:szCs w:val="22"/>
        </w:rPr>
        <w:t>“En la sentencia C-881 de 2011</w:t>
      </w:r>
      <w:r w:rsidRPr="00161AE6">
        <w:rPr>
          <w:rStyle w:val="Refdenotaalpie"/>
          <w:rFonts w:ascii="Arial" w:eastAsia="Arial" w:hAnsi="Arial" w:cs="Arial"/>
          <w:i/>
          <w:iCs/>
          <w:sz w:val="22"/>
          <w:szCs w:val="22"/>
        </w:rPr>
        <w:footnoteReference w:id="1"/>
      </w:r>
      <w:r w:rsidRPr="00161AE6">
        <w:rPr>
          <w:rFonts w:ascii="Arial" w:eastAsia="Arial" w:hAnsi="Arial" w:cs="Arial"/>
          <w:i/>
          <w:iCs/>
          <w:sz w:val="22"/>
          <w:szCs w:val="22"/>
        </w:rPr>
        <w:t>, en el marco del estudio de una demanda de inconstitucionalidad presentada contra una expresión del inciso 2º del artículo 335 de la Ley 906 de 2004, el cual establece que el juez que conozca de la preclusión quedará impedido para conocer del juicio, y que perseguía que ese mismo impedimento se hiciera extensivo al fiscal que formula la fallida solicitud, la Corporación se refirió al carácter excepcional de los impedimentos y las recusaciones y, por ende, a la naturaleza taxativa de las causales en que se originan, lo cual exige una interpretación restrictiva de las mismas. Al respecto, señaló:</w:t>
      </w:r>
    </w:p>
    <w:p w14:paraId="361BC887" w14:textId="77777777" w:rsidR="001E1C2A" w:rsidRPr="00161AE6" w:rsidRDefault="001E1C2A" w:rsidP="001E1C2A">
      <w:pPr>
        <w:widowControl w:val="0"/>
        <w:spacing w:before="100" w:beforeAutospacing="1" w:after="100" w:afterAutospacing="1"/>
        <w:ind w:right="423"/>
        <w:contextualSpacing/>
        <w:jc w:val="both"/>
        <w:rPr>
          <w:rFonts w:ascii="Arial" w:eastAsia="Arial" w:hAnsi="Arial" w:cs="Arial"/>
          <w:i/>
          <w:iCs/>
          <w:sz w:val="22"/>
          <w:szCs w:val="22"/>
        </w:rPr>
      </w:pPr>
    </w:p>
    <w:p w14:paraId="62E8A7D4" w14:textId="77777777" w:rsidR="001E1C2A" w:rsidRPr="00161AE6" w:rsidRDefault="001E1C2A" w:rsidP="001E1C2A">
      <w:pPr>
        <w:widowControl w:val="0"/>
        <w:spacing w:before="100" w:beforeAutospacing="1" w:after="100" w:afterAutospacing="1"/>
        <w:ind w:left="567" w:right="423"/>
        <w:contextualSpacing/>
        <w:jc w:val="both"/>
        <w:rPr>
          <w:rFonts w:ascii="Arial" w:eastAsia="Arial" w:hAnsi="Arial" w:cs="Arial"/>
          <w:i/>
          <w:iCs/>
          <w:sz w:val="22"/>
          <w:szCs w:val="22"/>
        </w:rPr>
      </w:pPr>
      <w:r w:rsidRPr="00161AE6">
        <w:rPr>
          <w:rFonts w:ascii="Arial" w:eastAsia="Arial" w:hAnsi="Arial" w:cs="Arial"/>
          <w:i/>
          <w:iCs/>
          <w:sz w:val="22"/>
          <w:szCs w:val="22"/>
        </w:rPr>
        <w:t xml:space="preserve">“Técnicamente, el impedimento es una facultad excepcional otorgada al juez para declinar su competencia en un asunto específico, separándose de su </w:t>
      </w:r>
      <w:r w:rsidRPr="00161AE6">
        <w:rPr>
          <w:rFonts w:ascii="Arial" w:eastAsia="Arial" w:hAnsi="Arial" w:cs="Arial"/>
          <w:i/>
          <w:iCs/>
          <w:sz w:val="22"/>
          <w:szCs w:val="22"/>
        </w:rPr>
        <w:lastRenderedPageBreak/>
        <w:t>conocimiento, cuando considere que existen motivos fundados para que su imparcialidad se encuentre seriamente comprometida. Sin embargo, con el fin de evitar que el impedimento se convierta en una forma de evadir el ejercicio de la tarea esencial del juez, y en una limitación excesiva al derecho fundamental al acceso a la administración de justicia (Artículo 228, C.P.), jurisprudencia coincidente y consolidada de los órganos de cierre de cada jurisdicción, ha determinado que los impedimentos tienen un carácter taxativo y que su interpretación debe efectuarse de forma restringida”</w:t>
      </w:r>
      <w:r w:rsidRPr="00161AE6">
        <w:rPr>
          <w:rStyle w:val="Refdenotaalpie"/>
          <w:rFonts w:ascii="Arial" w:eastAsia="Arial" w:hAnsi="Arial" w:cs="Arial"/>
          <w:i/>
          <w:iCs/>
          <w:sz w:val="22"/>
          <w:szCs w:val="22"/>
        </w:rPr>
        <w:footnoteReference w:id="2"/>
      </w:r>
      <w:r w:rsidRPr="00161AE6">
        <w:rPr>
          <w:rFonts w:ascii="Arial" w:eastAsia="Arial" w:hAnsi="Arial" w:cs="Arial"/>
          <w:i/>
          <w:iCs/>
          <w:sz w:val="22"/>
          <w:szCs w:val="22"/>
        </w:rPr>
        <w:t>.</w:t>
      </w:r>
    </w:p>
    <w:p w14:paraId="127B571F" w14:textId="77777777" w:rsidR="001E1C2A" w:rsidRPr="00161AE6" w:rsidRDefault="001E1C2A" w:rsidP="001E1C2A">
      <w:pPr>
        <w:widowControl w:val="0"/>
        <w:spacing w:before="100" w:beforeAutospacing="1" w:after="100" w:afterAutospacing="1"/>
        <w:ind w:right="423"/>
        <w:contextualSpacing/>
        <w:jc w:val="both"/>
        <w:rPr>
          <w:rFonts w:ascii="Arial" w:eastAsia="Arial" w:hAnsi="Arial" w:cs="Arial"/>
          <w:i/>
          <w:iCs/>
          <w:sz w:val="22"/>
          <w:szCs w:val="22"/>
        </w:rPr>
      </w:pPr>
    </w:p>
    <w:p w14:paraId="20C9F158" w14:textId="77777777" w:rsidR="001E1C2A" w:rsidRPr="00161AE6" w:rsidRDefault="001E1C2A" w:rsidP="001E1C2A">
      <w:pPr>
        <w:widowControl w:val="0"/>
        <w:spacing w:before="100" w:beforeAutospacing="1" w:after="100" w:afterAutospacing="1"/>
        <w:ind w:left="567" w:right="423"/>
        <w:contextualSpacing/>
        <w:jc w:val="both"/>
        <w:rPr>
          <w:rFonts w:ascii="Arial" w:eastAsia="Arial" w:hAnsi="Arial" w:cs="Arial"/>
          <w:i/>
          <w:iCs/>
          <w:sz w:val="22"/>
          <w:szCs w:val="22"/>
        </w:rPr>
      </w:pPr>
      <w:r w:rsidRPr="00161AE6">
        <w:rPr>
          <w:rFonts w:ascii="Arial" w:eastAsia="Arial" w:hAnsi="Arial" w:cs="Arial"/>
          <w:i/>
          <w:iCs/>
          <w:sz w:val="22"/>
          <w:szCs w:val="22"/>
        </w:rPr>
        <w:t>En suma, los impedimentos y las recusaciones son herramientas orientadas a la protección de principios esenciales de la administración de justicia como la independencia y la imparcialidad del funcionario judicial. Estos atributos en cuanto se dirigen a garantizar el debido proceso, tienen su fundamento constitucional en el artículo 29 de la Carta y en los principales convenios internacionales sobre Derechos Humanos adoptados por el Estado colombiano, y se convierten en derechos subjetivos del ciudadano”.</w:t>
      </w:r>
    </w:p>
    <w:p w14:paraId="7E3C6F78" w14:textId="77777777" w:rsidR="001E1C2A" w:rsidRPr="00161AE6" w:rsidRDefault="001E1C2A" w:rsidP="001E1C2A">
      <w:pPr>
        <w:widowControl w:val="0"/>
        <w:spacing w:before="100" w:beforeAutospacing="1" w:after="100" w:afterAutospacing="1"/>
        <w:contextualSpacing/>
        <w:jc w:val="both"/>
        <w:rPr>
          <w:rFonts w:ascii="Arial" w:eastAsia="Arial" w:hAnsi="Arial" w:cs="Arial"/>
          <w:sz w:val="22"/>
          <w:szCs w:val="22"/>
        </w:rPr>
      </w:pPr>
    </w:p>
    <w:p w14:paraId="6F8D38C4" w14:textId="77777777" w:rsidR="001E1C2A" w:rsidRPr="00161AE6" w:rsidRDefault="001E1C2A" w:rsidP="001E1C2A">
      <w:pPr>
        <w:widowControl w:val="0"/>
        <w:spacing w:before="100" w:beforeAutospacing="1" w:after="100" w:afterAutospacing="1"/>
        <w:contextualSpacing/>
        <w:jc w:val="both"/>
        <w:rPr>
          <w:rFonts w:ascii="Arial" w:eastAsia="Arial" w:hAnsi="Arial" w:cs="Arial"/>
          <w:sz w:val="22"/>
          <w:szCs w:val="22"/>
        </w:rPr>
      </w:pPr>
      <w:bookmarkStart w:id="1" w:name="_Int_4HiuRIa1"/>
      <w:r w:rsidRPr="00161AE6">
        <w:rPr>
          <w:rFonts w:ascii="Arial" w:eastAsia="Arial" w:hAnsi="Arial" w:cs="Arial"/>
          <w:sz w:val="22"/>
          <w:szCs w:val="22"/>
        </w:rPr>
        <w:t>En este orden de ideas, se resalta que los impedimentos y recusaciones tienen como objeto asegurar que las decisiones de la administración y por ende de sus agentes sean tomadas dentro de la más absoluta imparcialidad, de evitar circunstancias externas al proceso que puedan perturbar el ánimo del funcionario y distorsionar la realidad procesal, material o jurídica, movido por sentimientos humanos en favor o en contra de quien o quienes en un momento dado se encuentran sometidos a su decisión en razón del cargo que ejercen.</w:t>
      </w:r>
      <w:bookmarkEnd w:id="1"/>
      <w:r w:rsidRPr="00161AE6">
        <w:rPr>
          <w:rFonts w:ascii="Arial" w:eastAsia="Arial" w:hAnsi="Arial" w:cs="Arial"/>
          <w:sz w:val="22"/>
          <w:szCs w:val="22"/>
        </w:rPr>
        <w:t xml:space="preserve"> </w:t>
      </w:r>
    </w:p>
    <w:p w14:paraId="17C79FE1" w14:textId="77777777" w:rsidR="001E1C2A" w:rsidRPr="00161AE6" w:rsidRDefault="001E1C2A" w:rsidP="001E1C2A">
      <w:pPr>
        <w:widowControl w:val="0"/>
        <w:spacing w:before="100" w:beforeAutospacing="1" w:after="100" w:afterAutospacing="1"/>
        <w:contextualSpacing/>
        <w:jc w:val="both"/>
        <w:rPr>
          <w:rFonts w:ascii="Arial" w:eastAsia="Arial" w:hAnsi="Arial" w:cs="Arial"/>
          <w:sz w:val="22"/>
          <w:szCs w:val="22"/>
        </w:rPr>
      </w:pPr>
    </w:p>
    <w:p w14:paraId="604D4B22" w14:textId="77777777" w:rsidR="001E1C2A" w:rsidRPr="00161AE6" w:rsidRDefault="001E1C2A" w:rsidP="001E1C2A">
      <w:pPr>
        <w:widowControl w:val="0"/>
        <w:spacing w:before="100" w:beforeAutospacing="1" w:after="100" w:afterAutospacing="1"/>
        <w:contextualSpacing/>
        <w:jc w:val="both"/>
        <w:rPr>
          <w:rFonts w:ascii="Arial" w:eastAsia="Arial" w:hAnsi="Arial" w:cs="Arial"/>
          <w:sz w:val="22"/>
          <w:szCs w:val="22"/>
        </w:rPr>
      </w:pPr>
      <w:bookmarkStart w:id="2" w:name="_Int_M7aHvosi"/>
      <w:r w:rsidRPr="00161AE6">
        <w:rPr>
          <w:rFonts w:ascii="Arial" w:eastAsia="Arial" w:hAnsi="Arial" w:cs="Arial"/>
          <w:sz w:val="22"/>
          <w:szCs w:val="22"/>
        </w:rPr>
        <w:t>En virtud de lo anterior, lo que se requiere fundamentalmente para que se acepte la recusación es que quien lo alegue no solamente se limite a invocar la causal, sino que también ofrezca serios y atendibles argumentos que permitan su valoración, para de esta forma entrar a resolver lo que en derecho corresponda.</w:t>
      </w:r>
      <w:bookmarkEnd w:id="2"/>
    </w:p>
    <w:p w14:paraId="74C426ED" w14:textId="77777777" w:rsidR="008F4A7F" w:rsidRPr="008F4A7F" w:rsidRDefault="008F4A7F" w:rsidP="008F4A7F">
      <w:pPr>
        <w:jc w:val="both"/>
        <w:rPr>
          <w:rFonts w:ascii="Arial" w:eastAsia="Times New Roman" w:hAnsi="Arial" w:cs="Arial"/>
          <w:color w:val="000000" w:themeColor="text1"/>
          <w:sz w:val="22"/>
          <w:szCs w:val="22"/>
        </w:rPr>
      </w:pPr>
    </w:p>
    <w:p w14:paraId="24163860" w14:textId="23CA4E26" w:rsidR="008F4A7F" w:rsidRDefault="008F4A7F" w:rsidP="008F4A7F">
      <w:pPr>
        <w:jc w:val="both"/>
        <w:rPr>
          <w:rFonts w:ascii="Arial" w:eastAsia="Times New Roman" w:hAnsi="Arial" w:cs="Arial"/>
          <w:color w:val="000000" w:themeColor="text1"/>
          <w:sz w:val="22"/>
          <w:szCs w:val="22"/>
        </w:rPr>
      </w:pPr>
      <w:r w:rsidRPr="008F4A7F">
        <w:rPr>
          <w:rFonts w:ascii="Arial" w:eastAsia="Times New Roman" w:hAnsi="Arial" w:cs="Arial"/>
          <w:color w:val="000000" w:themeColor="text1"/>
          <w:sz w:val="22"/>
          <w:szCs w:val="22"/>
        </w:rPr>
        <w:t>Que las causales de los impedimentos y recusaciones en el ejercicio de las funciones administrativas a cargo de las ramas del poder público, los órganos estatales autónomos y los particulares se encuentran reglamentadas en la Ley 1437 de 2011, Código de Procedimiento Administrativo y de lo Contencioso Administrativo</w:t>
      </w:r>
      <w:r w:rsidR="00B033EA">
        <w:rPr>
          <w:rFonts w:ascii="Arial" w:eastAsia="Times New Roman" w:hAnsi="Arial" w:cs="Arial"/>
          <w:color w:val="000000" w:themeColor="text1"/>
          <w:sz w:val="22"/>
          <w:szCs w:val="22"/>
        </w:rPr>
        <w:t xml:space="preserve">, de la misma manera el </w:t>
      </w:r>
      <w:r w:rsidR="009B0E19">
        <w:rPr>
          <w:rFonts w:ascii="Arial" w:eastAsia="Times New Roman" w:hAnsi="Arial" w:cs="Arial"/>
          <w:color w:val="000000" w:themeColor="text1"/>
          <w:sz w:val="22"/>
          <w:szCs w:val="22"/>
        </w:rPr>
        <w:t>artículo</w:t>
      </w:r>
      <w:r w:rsidR="00B033EA">
        <w:rPr>
          <w:rFonts w:ascii="Arial" w:eastAsia="Times New Roman" w:hAnsi="Arial" w:cs="Arial"/>
          <w:color w:val="000000" w:themeColor="text1"/>
          <w:sz w:val="22"/>
          <w:szCs w:val="22"/>
        </w:rPr>
        <w:t xml:space="preserve"> 229 de la Ley 1801 de 2016 remite a esta norma para lo pertinente</w:t>
      </w:r>
      <w:r w:rsidRPr="008F4A7F">
        <w:rPr>
          <w:rFonts w:ascii="Arial" w:eastAsia="Times New Roman" w:hAnsi="Arial" w:cs="Arial"/>
          <w:color w:val="000000" w:themeColor="text1"/>
          <w:sz w:val="22"/>
          <w:szCs w:val="22"/>
        </w:rPr>
        <w:t>.</w:t>
      </w:r>
    </w:p>
    <w:p w14:paraId="07897CE9" w14:textId="77777777" w:rsidR="007C1277" w:rsidRDefault="007C1277" w:rsidP="008F4A7F">
      <w:pPr>
        <w:jc w:val="both"/>
        <w:rPr>
          <w:rFonts w:ascii="Arial" w:eastAsia="Times New Roman" w:hAnsi="Arial" w:cs="Arial"/>
          <w:color w:val="000000" w:themeColor="text1"/>
          <w:sz w:val="22"/>
          <w:szCs w:val="22"/>
        </w:rPr>
      </w:pPr>
    </w:p>
    <w:p w14:paraId="3E9CD28A" w14:textId="77777777" w:rsidR="007C1277" w:rsidRPr="00161AE6" w:rsidRDefault="007C1277" w:rsidP="007C1277">
      <w:pPr>
        <w:widowControl w:val="0"/>
        <w:spacing w:before="100" w:beforeAutospacing="1" w:after="100" w:afterAutospacing="1"/>
        <w:contextualSpacing/>
        <w:jc w:val="both"/>
        <w:rPr>
          <w:rFonts w:ascii="Arial" w:eastAsia="Arial" w:hAnsi="Arial" w:cs="Arial"/>
          <w:b/>
          <w:bCs/>
          <w:sz w:val="22"/>
          <w:szCs w:val="22"/>
        </w:rPr>
      </w:pPr>
      <w:r w:rsidRPr="00161AE6">
        <w:rPr>
          <w:rFonts w:ascii="Arial" w:eastAsia="Arial" w:hAnsi="Arial" w:cs="Arial"/>
          <w:b/>
          <w:bCs/>
          <w:sz w:val="22"/>
          <w:szCs w:val="22"/>
        </w:rPr>
        <w:t>CARÁCTER TAXATIVO DE LAS CAUSALES DE IMPEDIMENTO.</w:t>
      </w:r>
    </w:p>
    <w:p w14:paraId="2145BBA5" w14:textId="77777777" w:rsidR="007C1277" w:rsidRPr="00161AE6" w:rsidRDefault="007C1277" w:rsidP="007C1277">
      <w:pPr>
        <w:widowControl w:val="0"/>
        <w:spacing w:before="100" w:beforeAutospacing="1" w:after="100" w:afterAutospacing="1"/>
        <w:contextualSpacing/>
        <w:jc w:val="both"/>
        <w:rPr>
          <w:rFonts w:ascii="Arial" w:eastAsia="Arial" w:hAnsi="Arial" w:cs="Arial"/>
          <w:sz w:val="22"/>
          <w:szCs w:val="22"/>
        </w:rPr>
      </w:pPr>
      <w:r w:rsidRPr="00161AE6">
        <w:rPr>
          <w:rFonts w:ascii="Arial" w:eastAsia="Arial" w:hAnsi="Arial" w:cs="Arial"/>
          <w:sz w:val="22"/>
          <w:szCs w:val="22"/>
        </w:rPr>
        <w:t xml:space="preserve"> </w:t>
      </w:r>
    </w:p>
    <w:p w14:paraId="0B3C75AC" w14:textId="77777777" w:rsidR="007C1277" w:rsidRPr="00161AE6" w:rsidRDefault="007C1277" w:rsidP="007C1277">
      <w:pPr>
        <w:widowControl w:val="0"/>
        <w:spacing w:before="100" w:beforeAutospacing="1" w:after="100" w:afterAutospacing="1"/>
        <w:contextualSpacing/>
        <w:jc w:val="both"/>
        <w:rPr>
          <w:rFonts w:ascii="Arial" w:eastAsia="Arial" w:hAnsi="Arial" w:cs="Arial"/>
          <w:sz w:val="22"/>
          <w:szCs w:val="22"/>
        </w:rPr>
      </w:pPr>
      <w:r w:rsidRPr="00161AE6">
        <w:rPr>
          <w:rFonts w:ascii="Arial" w:eastAsia="Arial" w:hAnsi="Arial" w:cs="Arial"/>
          <w:sz w:val="22"/>
          <w:szCs w:val="22"/>
        </w:rPr>
        <w:t xml:space="preserve">Cabe resaltar que las causales de impedimento y recusación </w:t>
      </w:r>
      <w:r w:rsidRPr="005F1B77">
        <w:rPr>
          <w:rFonts w:ascii="Arial" w:eastAsia="Arial" w:hAnsi="Arial" w:cs="Arial"/>
          <w:b/>
          <w:bCs/>
          <w:i/>
          <w:iCs/>
          <w:sz w:val="22"/>
          <w:szCs w:val="22"/>
        </w:rPr>
        <w:t>son taxativas</w:t>
      </w:r>
      <w:r w:rsidRPr="00161AE6">
        <w:rPr>
          <w:rFonts w:ascii="Arial" w:eastAsia="Arial" w:hAnsi="Arial" w:cs="Arial"/>
          <w:sz w:val="22"/>
          <w:szCs w:val="22"/>
        </w:rPr>
        <w:t xml:space="preserve">, por cuanto el legislador es el único autorizado para establecerlas, son de interpretación estricta y de ningún modo resultan admisibles las extensiones analógicas a situaciones no contempladas por la ley. </w:t>
      </w:r>
    </w:p>
    <w:p w14:paraId="297AFAF6" w14:textId="77777777" w:rsidR="007C1277" w:rsidRPr="00161AE6" w:rsidRDefault="007C1277" w:rsidP="007C1277">
      <w:pPr>
        <w:widowControl w:val="0"/>
        <w:spacing w:before="100" w:beforeAutospacing="1" w:after="100" w:afterAutospacing="1"/>
        <w:contextualSpacing/>
        <w:jc w:val="both"/>
        <w:rPr>
          <w:rFonts w:ascii="Arial" w:eastAsia="Arial" w:hAnsi="Arial" w:cs="Arial"/>
          <w:sz w:val="22"/>
          <w:szCs w:val="22"/>
        </w:rPr>
      </w:pPr>
    </w:p>
    <w:p w14:paraId="6DFA8109" w14:textId="77777777" w:rsidR="007C1277" w:rsidRPr="00161AE6" w:rsidRDefault="007C1277" w:rsidP="007C1277">
      <w:pPr>
        <w:widowControl w:val="0"/>
        <w:spacing w:before="100" w:beforeAutospacing="1" w:after="100" w:afterAutospacing="1"/>
        <w:contextualSpacing/>
        <w:jc w:val="both"/>
        <w:rPr>
          <w:rFonts w:ascii="Arial" w:eastAsia="Arial" w:hAnsi="Arial" w:cs="Arial"/>
          <w:sz w:val="22"/>
          <w:szCs w:val="22"/>
        </w:rPr>
      </w:pPr>
      <w:r w:rsidRPr="00161AE6">
        <w:rPr>
          <w:rFonts w:ascii="Arial" w:eastAsia="Arial" w:hAnsi="Arial" w:cs="Arial"/>
          <w:sz w:val="22"/>
          <w:szCs w:val="22"/>
        </w:rPr>
        <w:t>A parte de ser taxativas, estas causales son de aplicación restrictiva</w:t>
      </w:r>
      <w:r w:rsidRPr="00161AE6">
        <w:rPr>
          <w:rStyle w:val="Refdenotaalpie"/>
          <w:rFonts w:ascii="Arial" w:eastAsia="Arial" w:hAnsi="Arial" w:cs="Arial"/>
          <w:sz w:val="22"/>
          <w:szCs w:val="22"/>
        </w:rPr>
        <w:footnoteReference w:id="3"/>
      </w:r>
      <w:r w:rsidRPr="00161AE6">
        <w:rPr>
          <w:rFonts w:ascii="Arial" w:eastAsia="Arial" w:hAnsi="Arial" w:cs="Arial"/>
          <w:sz w:val="22"/>
          <w:szCs w:val="22"/>
        </w:rPr>
        <w:t>, es decir, comportan una excepción al cumplimiento de la función jurisdiccional que le corresponde al Juez, y como tal, están debidamente delimitadas por el legislador y no pueden extenderse o ampliarse a su criterio por arbitrio, menos aún por las partes, por cuanto la escogencia de quien decide no es discrecional. Para que se configuren debe existir un “</w:t>
      </w:r>
      <w:r w:rsidRPr="00161AE6">
        <w:rPr>
          <w:rFonts w:ascii="Arial" w:eastAsia="Arial" w:hAnsi="Arial" w:cs="Arial"/>
          <w:i/>
          <w:iCs/>
          <w:sz w:val="22"/>
          <w:szCs w:val="22"/>
        </w:rPr>
        <w:t>interés particular, personal, cierto y actual, que tenga relación, al menos mediata, con el caso objeto de juzgamiento de manera que impida una decisión imparcial.”</w:t>
      </w:r>
      <w:r w:rsidRPr="00161AE6">
        <w:rPr>
          <w:rFonts w:ascii="Arial" w:eastAsia="Arial" w:hAnsi="Arial" w:cs="Arial"/>
          <w:sz w:val="22"/>
          <w:szCs w:val="22"/>
        </w:rPr>
        <w:t>. Se trata de situaciones que afecten el criterio del fallador, que comprometan su independencia, serenidad de ánimo o transparencia en el proceso.</w:t>
      </w:r>
    </w:p>
    <w:p w14:paraId="2809FD47" w14:textId="40123ED6" w:rsidR="008F4A7F" w:rsidRPr="008F4A7F" w:rsidRDefault="008F4A7F" w:rsidP="008F4A7F">
      <w:pPr>
        <w:jc w:val="both"/>
        <w:rPr>
          <w:rFonts w:ascii="Arial" w:eastAsia="Times New Roman" w:hAnsi="Arial" w:cs="Arial"/>
          <w:color w:val="000000" w:themeColor="text1"/>
          <w:sz w:val="22"/>
          <w:szCs w:val="22"/>
        </w:rPr>
      </w:pPr>
    </w:p>
    <w:p w14:paraId="224661B0" w14:textId="54EDD31A" w:rsidR="008F4A7F" w:rsidRPr="008F4A7F" w:rsidRDefault="007C1277" w:rsidP="008F4A7F">
      <w:pPr>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lastRenderedPageBreak/>
        <w:t>De la misma manera</w:t>
      </w:r>
      <w:r w:rsidR="008F4A7F" w:rsidRPr="008F4A7F">
        <w:rPr>
          <w:rFonts w:ascii="Arial" w:eastAsia="Times New Roman" w:hAnsi="Arial" w:cs="Arial"/>
          <w:color w:val="000000" w:themeColor="text1"/>
          <w:sz w:val="22"/>
          <w:szCs w:val="22"/>
        </w:rPr>
        <w:t xml:space="preserve"> la Sección Primera de la Sala de lo Contencioso Administrativo del Consejo De Estado, en sentencia con Radicación núm.: 440012331000200400684 01 del 27 de enero de 2005, Consejero Ponente: Doctor Rafael E. Ostau De Lafont Pianeta, precisó:</w:t>
      </w:r>
    </w:p>
    <w:p w14:paraId="011E6F10" w14:textId="77777777" w:rsidR="008F4A7F" w:rsidRPr="008F4A7F" w:rsidRDefault="008F4A7F" w:rsidP="008F4A7F">
      <w:pPr>
        <w:jc w:val="both"/>
        <w:rPr>
          <w:rFonts w:ascii="Arial" w:eastAsia="Times New Roman" w:hAnsi="Arial" w:cs="Arial"/>
          <w:color w:val="000000" w:themeColor="text1"/>
          <w:sz w:val="22"/>
          <w:szCs w:val="22"/>
        </w:rPr>
      </w:pPr>
      <w:r w:rsidRPr="008F4A7F">
        <w:rPr>
          <w:rFonts w:ascii="Arial" w:eastAsia="Times New Roman" w:hAnsi="Arial" w:cs="Arial"/>
          <w:color w:val="000000" w:themeColor="text1"/>
          <w:sz w:val="22"/>
          <w:szCs w:val="22"/>
        </w:rPr>
        <w:t xml:space="preserve"> </w:t>
      </w:r>
    </w:p>
    <w:p w14:paraId="6884D80F" w14:textId="78F5AAD8" w:rsidR="00744604" w:rsidRPr="008F4A7F" w:rsidRDefault="008F4A7F" w:rsidP="008F4A7F">
      <w:pPr>
        <w:ind w:left="567" w:right="474"/>
        <w:jc w:val="both"/>
        <w:rPr>
          <w:rFonts w:ascii="Arial" w:eastAsia="Times New Roman" w:hAnsi="Arial" w:cs="Arial"/>
          <w:color w:val="000000" w:themeColor="text1"/>
          <w:sz w:val="22"/>
          <w:szCs w:val="22"/>
        </w:rPr>
      </w:pPr>
      <w:r w:rsidRPr="008F4A7F">
        <w:rPr>
          <w:rFonts w:ascii="Arial" w:eastAsia="Times New Roman" w:hAnsi="Arial" w:cs="Arial"/>
          <w:color w:val="000000" w:themeColor="text1"/>
          <w:sz w:val="22"/>
          <w:szCs w:val="22"/>
        </w:rPr>
        <w:t>“La jurisprudencia de esta Sala tiene dicho que de esa disposición se desprende que el interés que puede generar conflicto con el asunto de que se trate debe ser directo, es decir que el efecto que la decisión pueda tener en las personas que como servidores públicos intervienen en ella sea inmediato, sin consideración a circunstancias o elementos externos a la decisión; que se produzca de forma especial respecto de ellas, de su cónyuge o de un pariente suyo, es decir, particular y concreta, sea en su beneficio o en su perjuicio; y que además no se manifieste el impedimento por esa situación personal o familiar en el trámite del asunto, y así lo ha consignado reiterada y ampliamente la Sala Plena de lo Contencioso Administrativa de esta Corporación cuando se ha ocupado del asunto con ocasión de procesos de pérdida de la investidura de los congresistas.”</w:t>
      </w:r>
    </w:p>
    <w:p w14:paraId="50F8EA85" w14:textId="78315792" w:rsidR="008F4A7F" w:rsidRPr="008F4A7F" w:rsidRDefault="007C1277" w:rsidP="00D75C3E">
      <w:pPr>
        <w:shd w:val="clear" w:color="auto" w:fill="FFFFFF"/>
        <w:spacing w:before="100" w:beforeAutospacing="1" w:after="100" w:afterAutospacing="1"/>
        <w:jc w:val="both"/>
        <w:rPr>
          <w:rFonts w:ascii="Arial" w:eastAsia="Times New Roman" w:hAnsi="Arial" w:cs="Arial"/>
          <w:i/>
          <w:iCs/>
          <w:color w:val="000000" w:themeColor="text1"/>
          <w:sz w:val="22"/>
          <w:szCs w:val="22"/>
        </w:rPr>
      </w:pPr>
      <w:r>
        <w:rPr>
          <w:rFonts w:ascii="Arial" w:eastAsia="Times New Roman" w:hAnsi="Arial" w:cs="Arial"/>
          <w:i/>
          <w:iCs/>
          <w:color w:val="000000" w:themeColor="text1"/>
          <w:sz w:val="22"/>
          <w:szCs w:val="22"/>
        </w:rPr>
        <w:t>Por su parte la</w:t>
      </w:r>
      <w:r w:rsidR="00D75C3E" w:rsidRPr="008F4A7F">
        <w:rPr>
          <w:rFonts w:ascii="Arial" w:eastAsia="Times New Roman" w:hAnsi="Arial" w:cs="Arial"/>
          <w:i/>
          <w:iCs/>
          <w:color w:val="000000" w:themeColor="text1"/>
          <w:sz w:val="22"/>
          <w:szCs w:val="22"/>
        </w:rPr>
        <w:t xml:space="preserve"> Corte Constitucional en sentencia T-305-2017 señaló: </w:t>
      </w:r>
    </w:p>
    <w:p w14:paraId="6E76AF5B" w14:textId="71331D53" w:rsidR="00D75C3E" w:rsidRPr="008F4A7F" w:rsidRDefault="00D75C3E" w:rsidP="008F4A7F">
      <w:pPr>
        <w:shd w:val="clear" w:color="auto" w:fill="FFFFFF"/>
        <w:spacing w:before="100" w:beforeAutospacing="1" w:after="100" w:afterAutospacing="1"/>
        <w:ind w:left="567" w:right="474"/>
        <w:jc w:val="both"/>
        <w:rPr>
          <w:rFonts w:ascii="Arial" w:eastAsia="Times New Roman" w:hAnsi="Arial" w:cs="Arial"/>
          <w:i/>
          <w:iCs/>
          <w:color w:val="000000" w:themeColor="text1"/>
          <w:sz w:val="22"/>
          <w:szCs w:val="22"/>
        </w:rPr>
      </w:pPr>
      <w:r w:rsidRPr="008F4A7F">
        <w:rPr>
          <w:rFonts w:ascii="Arial" w:hAnsi="Arial" w:cs="Arial"/>
          <w:i/>
          <w:iCs/>
          <w:color w:val="000000" w:themeColor="text1"/>
          <w:sz w:val="22"/>
          <w:szCs w:val="22"/>
        </w:rPr>
        <w:t>“</w:t>
      </w:r>
      <w:r w:rsidRPr="008F4A7F">
        <w:rPr>
          <w:rFonts w:ascii="Arial" w:hAnsi="Arial" w:cs="Arial"/>
          <w:i/>
          <w:iCs/>
          <w:color w:val="000000" w:themeColor="text1"/>
          <w:sz w:val="22"/>
          <w:szCs w:val="22"/>
          <w:shd w:val="clear" w:color="auto" w:fill="FFFFFF"/>
        </w:rPr>
        <w:t>5.1. (…) Tal como se indicó en precedencia, los impedimentos y las recusaciones son mecanismos jurídicos dirigidos a garantizar que las decisiones judiciales sean adoptadas con sujeción a los principios de imparcialidad e independencia, de tal manera que cuando se presente alguna situación que comprometa la recta administración de justicia, el funcionario judicial, en forma anticipada y con fundamento en las causales taxativamente señaladas por el legislador, exprese tal circunstancia. De no declararse impedido, el funcionario podrá ser recusado con fundamento en las mismas causales de impedimento. (…)”</w:t>
      </w:r>
    </w:p>
    <w:p w14:paraId="5A323895" w14:textId="559E6EE5" w:rsidR="00D75C3E" w:rsidRPr="008F4A7F" w:rsidRDefault="00D75C3E" w:rsidP="008F4A7F">
      <w:pPr>
        <w:shd w:val="clear" w:color="auto" w:fill="FFFFFF"/>
        <w:spacing w:before="100" w:beforeAutospacing="1" w:after="100" w:afterAutospacing="1"/>
        <w:ind w:left="567" w:right="474"/>
        <w:jc w:val="both"/>
        <w:rPr>
          <w:rFonts w:ascii="Arial" w:eastAsia="Times New Roman" w:hAnsi="Arial" w:cs="Arial"/>
          <w:i/>
          <w:iCs/>
          <w:color w:val="000000" w:themeColor="text1"/>
          <w:sz w:val="22"/>
          <w:szCs w:val="22"/>
        </w:rPr>
      </w:pPr>
      <w:r w:rsidRPr="008F4A7F">
        <w:rPr>
          <w:rFonts w:ascii="Arial" w:hAnsi="Arial" w:cs="Arial"/>
          <w:color w:val="000000" w:themeColor="text1"/>
          <w:spacing w:val="-3"/>
          <w:sz w:val="22"/>
          <w:szCs w:val="22"/>
          <w:shd w:val="clear" w:color="auto" w:fill="FFFFFF"/>
        </w:rPr>
        <w:t>Que la sentencia T-305 de 2017 precisó: </w:t>
      </w:r>
      <w:r w:rsidR="009B0E19" w:rsidRPr="008F4A7F">
        <w:rPr>
          <w:rFonts w:ascii="Arial" w:hAnsi="Arial" w:cs="Arial"/>
          <w:i/>
          <w:iCs/>
          <w:color w:val="000000" w:themeColor="text1"/>
          <w:spacing w:val="-3"/>
          <w:sz w:val="22"/>
          <w:szCs w:val="22"/>
          <w:shd w:val="clear" w:color="auto" w:fill="FFFFFF"/>
        </w:rPr>
        <w:t>“(</w:t>
      </w:r>
      <w:r w:rsidRPr="008F4A7F">
        <w:rPr>
          <w:rFonts w:ascii="Arial" w:hAnsi="Arial" w:cs="Arial"/>
          <w:i/>
          <w:iCs/>
          <w:color w:val="000000" w:themeColor="text1"/>
          <w:spacing w:val="-3"/>
          <w:sz w:val="22"/>
          <w:szCs w:val="22"/>
          <w:shd w:val="clear" w:color="auto" w:fill="FFFFFF"/>
        </w:rPr>
        <w:t>…) la afectación del principio de imparcialidad depende del grado de intervención y del contacto del funcionario judicial con los medios de juicio, siempre debe examinarse en cada asunto antes de separar al juez de su conocimiento</w:t>
      </w:r>
      <w:r w:rsidRPr="008F4A7F">
        <w:rPr>
          <w:rFonts w:ascii="Arial" w:hAnsi="Arial" w:cs="Arial"/>
          <w:i/>
          <w:iCs/>
          <w:color w:val="000000" w:themeColor="text1"/>
          <w:sz w:val="22"/>
          <w:szCs w:val="22"/>
          <w:shd w:val="clear" w:color="auto" w:fill="FFFFFF"/>
        </w:rPr>
        <w:t>, ‘porque el instituto de los impedimentos y las recusaciones se rige por los principios de taxatividad y excepcionalidad(….)”</w:t>
      </w:r>
    </w:p>
    <w:p w14:paraId="7988CEB4" w14:textId="5CD1D27C" w:rsidR="00C10514" w:rsidRDefault="007C1277" w:rsidP="002A5AFE">
      <w:pPr>
        <w:shd w:val="clear" w:color="auto" w:fill="FFFFFF"/>
        <w:spacing w:before="100" w:beforeAutospacing="1" w:after="100" w:afterAutospacing="1"/>
        <w:jc w:val="both"/>
        <w:rPr>
          <w:rFonts w:ascii="Arial" w:eastAsia="Times New Roman" w:hAnsi="Arial" w:cs="Arial"/>
          <w:color w:val="000000" w:themeColor="text1"/>
        </w:rPr>
      </w:pPr>
      <w:r>
        <w:rPr>
          <w:rFonts w:ascii="Arial" w:eastAsia="Times New Roman" w:hAnsi="Arial" w:cs="Arial"/>
          <w:color w:val="000000" w:themeColor="text1"/>
          <w:sz w:val="22"/>
          <w:szCs w:val="22"/>
        </w:rPr>
        <w:t>E</w:t>
      </w:r>
      <w:r w:rsidR="00C10514" w:rsidRPr="00C10514">
        <w:rPr>
          <w:rFonts w:ascii="Arial" w:eastAsia="Times New Roman" w:hAnsi="Arial" w:cs="Arial"/>
          <w:color w:val="000000" w:themeColor="text1"/>
          <w:sz w:val="22"/>
          <w:szCs w:val="22"/>
        </w:rPr>
        <w:t>l Consejo de Estado ha reiterado que la presentación de una denuncia no constituye, por sí sola, una causal de impedimento. En decisiones como la proferida por la Sección Tercera (Sentencia del 27 de abril de 2017, Expediente 47001-23-31-000-1998-00256-01), se estableció que es necesario demostrar que la denuncia tiene una conexión directa con el asunto en trámite o que genera enemistad manifiesta entre el denunciante y el funcionario</w:t>
      </w:r>
      <w:r w:rsidR="001E1C2A">
        <w:rPr>
          <w:rFonts w:ascii="Arial" w:eastAsia="Times New Roman" w:hAnsi="Arial" w:cs="Arial"/>
          <w:color w:val="000000" w:themeColor="text1"/>
          <w:sz w:val="22"/>
          <w:szCs w:val="22"/>
        </w:rPr>
        <w:t>, situaci</w:t>
      </w:r>
      <w:r w:rsidR="00A37E7A">
        <w:rPr>
          <w:rFonts w:ascii="Arial" w:eastAsia="Times New Roman" w:hAnsi="Arial" w:cs="Arial"/>
          <w:color w:val="000000" w:themeColor="text1"/>
          <w:sz w:val="22"/>
          <w:szCs w:val="22"/>
        </w:rPr>
        <w:t>ó</w:t>
      </w:r>
      <w:r w:rsidR="001E1C2A">
        <w:rPr>
          <w:rFonts w:ascii="Arial" w:eastAsia="Times New Roman" w:hAnsi="Arial" w:cs="Arial"/>
          <w:color w:val="000000" w:themeColor="text1"/>
          <w:sz w:val="22"/>
          <w:szCs w:val="22"/>
        </w:rPr>
        <w:t xml:space="preserve">n que a juicio de este Despacho no tiene el asunto bajo estudio, toda vez que la queja es con ocasión de las funciones en cabeza del Inspector y no por un conflicto entre </w:t>
      </w:r>
      <w:r w:rsidR="001E1C2A" w:rsidRPr="002A5AFE">
        <w:rPr>
          <w:rFonts w:ascii="Arial" w:eastAsia="Times New Roman" w:hAnsi="Arial" w:cs="Arial"/>
          <w:color w:val="000000" w:themeColor="text1"/>
        </w:rPr>
        <w:t>las partes</w:t>
      </w:r>
      <w:r w:rsidR="00C10514" w:rsidRPr="002A5AFE">
        <w:rPr>
          <w:rFonts w:ascii="Arial" w:eastAsia="Times New Roman" w:hAnsi="Arial" w:cs="Arial"/>
          <w:color w:val="000000" w:themeColor="text1"/>
        </w:rPr>
        <w:t>.</w:t>
      </w:r>
    </w:p>
    <w:p w14:paraId="4CD0F7E9" w14:textId="37451228" w:rsidR="00A37E7A" w:rsidRPr="00A37E7A" w:rsidRDefault="00A37E7A" w:rsidP="002A5AFE">
      <w:pPr>
        <w:shd w:val="clear" w:color="auto" w:fill="FFFFFF"/>
        <w:spacing w:before="100" w:beforeAutospacing="1" w:after="100" w:afterAutospacing="1"/>
        <w:jc w:val="both"/>
        <w:rPr>
          <w:rFonts w:ascii="Arial" w:eastAsia="Times New Roman" w:hAnsi="Arial" w:cs="Arial"/>
          <w:b/>
          <w:bCs/>
          <w:color w:val="000000" w:themeColor="text1"/>
        </w:rPr>
      </w:pPr>
      <w:r w:rsidRPr="00A37E7A">
        <w:rPr>
          <w:rFonts w:ascii="Arial" w:eastAsia="Times New Roman" w:hAnsi="Arial" w:cs="Arial"/>
          <w:b/>
          <w:bCs/>
          <w:color w:val="000000" w:themeColor="text1"/>
        </w:rPr>
        <w:t>DEL CASO CONCRETO.</w:t>
      </w:r>
    </w:p>
    <w:p w14:paraId="540F1798" w14:textId="1FC24060" w:rsidR="00A37E7A" w:rsidRPr="00A37E7A" w:rsidRDefault="00A37E7A" w:rsidP="00A37E7A">
      <w:pPr>
        <w:shd w:val="clear" w:color="auto" w:fill="FFFFFF"/>
        <w:spacing w:before="100" w:beforeAutospacing="1" w:after="100" w:afterAutospacing="1"/>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 xml:space="preserve">Al realizar la revisión </w:t>
      </w:r>
      <w:r w:rsidRPr="00A37E7A">
        <w:rPr>
          <w:rFonts w:ascii="Arial" w:eastAsia="Times New Roman" w:hAnsi="Arial" w:cs="Arial"/>
          <w:color w:val="000000" w:themeColor="text1"/>
          <w:sz w:val="22"/>
          <w:szCs w:val="22"/>
        </w:rPr>
        <w:t>integral del escrito de impedimento presentado por la Inspectora Primera de Policía dentro del expediente CCIEP-04-2026, se concluye que, en el marco de la normatividad vigente, el impedimento resulta jurídicamente improcedente y no configura de manera objetiva ninguna de las causales taxativas previstas en el artículo 11 de la Ley 1437 de 2011.</w:t>
      </w:r>
    </w:p>
    <w:p w14:paraId="620917DB" w14:textId="77777777" w:rsidR="00A37E7A" w:rsidRPr="00A37E7A" w:rsidRDefault="00A37E7A" w:rsidP="00A37E7A">
      <w:pPr>
        <w:shd w:val="clear" w:color="auto" w:fill="FFFFFF"/>
        <w:spacing w:before="100" w:beforeAutospacing="1" w:after="100" w:afterAutospacing="1"/>
        <w:jc w:val="both"/>
        <w:rPr>
          <w:rFonts w:ascii="Arial" w:eastAsia="Times New Roman" w:hAnsi="Arial" w:cs="Arial"/>
          <w:color w:val="000000" w:themeColor="text1"/>
          <w:sz w:val="22"/>
          <w:szCs w:val="22"/>
        </w:rPr>
      </w:pPr>
      <w:r w:rsidRPr="00A37E7A">
        <w:rPr>
          <w:rFonts w:ascii="Arial" w:eastAsia="Times New Roman" w:hAnsi="Arial" w:cs="Arial"/>
          <w:color w:val="000000" w:themeColor="text1"/>
          <w:sz w:val="22"/>
          <w:szCs w:val="22"/>
        </w:rPr>
        <w:t>La manifestación presentada contiene una mezcla de apreciaciones subjetivas, consideraciones de conveniencia administrativa y referencias normativas parcialmente equivocadas o impertinentes frente al régimen jurídico aplicable a los impedimentos y recusaciones en actuaciones administrativas policivas.</w:t>
      </w:r>
    </w:p>
    <w:p w14:paraId="11E50D25" w14:textId="77777777" w:rsidR="00A37E7A" w:rsidRPr="00A37E7A" w:rsidRDefault="00A37E7A" w:rsidP="00A37E7A">
      <w:pPr>
        <w:shd w:val="clear" w:color="auto" w:fill="FFFFFF"/>
        <w:spacing w:before="100" w:beforeAutospacing="1" w:after="100" w:afterAutospacing="1"/>
        <w:jc w:val="both"/>
        <w:rPr>
          <w:rFonts w:ascii="Arial" w:eastAsia="Times New Roman" w:hAnsi="Arial" w:cs="Arial"/>
          <w:color w:val="000000" w:themeColor="text1"/>
          <w:sz w:val="22"/>
          <w:szCs w:val="22"/>
        </w:rPr>
      </w:pPr>
      <w:r w:rsidRPr="00A37E7A">
        <w:rPr>
          <w:rFonts w:ascii="Arial" w:eastAsia="Times New Roman" w:hAnsi="Arial" w:cs="Arial"/>
          <w:color w:val="000000" w:themeColor="text1"/>
          <w:sz w:val="22"/>
          <w:szCs w:val="22"/>
        </w:rPr>
        <w:lastRenderedPageBreak/>
        <w:t>El aspecto central del análisis jurídico debe partir de una premisa fundamental: las causales de impedimento son de interpretación restrictiva y taxativa, precisamente porque constituyen una excepción al ejercicio obligatorio de la función pública y al principio de competencia funcional.</w:t>
      </w:r>
    </w:p>
    <w:p w14:paraId="1B35FD17" w14:textId="77777777" w:rsidR="00A37E7A" w:rsidRPr="00A37E7A" w:rsidRDefault="00A37E7A" w:rsidP="00A37E7A">
      <w:pPr>
        <w:shd w:val="clear" w:color="auto" w:fill="FFFFFF"/>
        <w:spacing w:before="100" w:beforeAutospacing="1" w:after="100" w:afterAutospacing="1"/>
        <w:jc w:val="both"/>
        <w:rPr>
          <w:rFonts w:ascii="Arial" w:eastAsia="Times New Roman" w:hAnsi="Arial" w:cs="Arial"/>
          <w:color w:val="000000" w:themeColor="text1"/>
          <w:sz w:val="22"/>
          <w:szCs w:val="22"/>
        </w:rPr>
      </w:pPr>
      <w:r w:rsidRPr="00A37E7A">
        <w:rPr>
          <w:rFonts w:ascii="Arial" w:eastAsia="Times New Roman" w:hAnsi="Arial" w:cs="Arial"/>
          <w:color w:val="000000" w:themeColor="text1"/>
          <w:sz w:val="22"/>
          <w:szCs w:val="22"/>
        </w:rPr>
        <w:t>En efecto, el artículo 11 del CPACA consagra de manera expresa y cerrada las causales de impedimento y recusación aplicables a las actuaciones administrativas. Por consiguiente, la autoridad administrativa no puede ampliar dichas causales por analogía, sospecha subjetiva, percepciones personales o consideraciones de conveniencia institucional.</w:t>
      </w:r>
    </w:p>
    <w:p w14:paraId="013B1B20" w14:textId="77777777" w:rsidR="00A37E7A" w:rsidRPr="00A37E7A" w:rsidRDefault="00A37E7A" w:rsidP="00A37E7A">
      <w:pPr>
        <w:shd w:val="clear" w:color="auto" w:fill="FFFFFF"/>
        <w:spacing w:before="100" w:beforeAutospacing="1" w:after="100" w:afterAutospacing="1"/>
        <w:jc w:val="both"/>
        <w:rPr>
          <w:rFonts w:ascii="Arial" w:eastAsia="Times New Roman" w:hAnsi="Arial" w:cs="Arial"/>
          <w:color w:val="000000" w:themeColor="text1"/>
          <w:sz w:val="22"/>
          <w:szCs w:val="22"/>
        </w:rPr>
      </w:pPr>
      <w:r w:rsidRPr="00A37E7A">
        <w:rPr>
          <w:rFonts w:ascii="Arial" w:eastAsia="Times New Roman" w:hAnsi="Arial" w:cs="Arial"/>
          <w:color w:val="000000" w:themeColor="text1"/>
          <w:sz w:val="22"/>
          <w:szCs w:val="22"/>
        </w:rPr>
        <w:t>La Inspectora sustenta esencialmente su impedimento en tres circunstancias:</w:t>
      </w:r>
    </w:p>
    <w:p w14:paraId="538C3DD7" w14:textId="77777777" w:rsidR="00A37E7A" w:rsidRPr="00A37E7A" w:rsidRDefault="00A37E7A" w:rsidP="00BD723F">
      <w:pPr>
        <w:shd w:val="clear" w:color="auto" w:fill="FFFFFF"/>
        <w:spacing w:before="100" w:beforeAutospacing="1" w:after="100" w:afterAutospacing="1"/>
        <w:ind w:left="709"/>
        <w:jc w:val="both"/>
        <w:rPr>
          <w:rFonts w:ascii="Arial" w:eastAsia="Times New Roman" w:hAnsi="Arial" w:cs="Arial"/>
          <w:color w:val="000000" w:themeColor="text1"/>
          <w:sz w:val="22"/>
          <w:szCs w:val="22"/>
        </w:rPr>
      </w:pPr>
      <w:r w:rsidRPr="00A37E7A">
        <w:rPr>
          <w:rFonts w:ascii="Arial" w:eastAsia="Times New Roman" w:hAnsi="Arial" w:cs="Arial"/>
          <w:color w:val="000000" w:themeColor="text1"/>
          <w:sz w:val="22"/>
          <w:szCs w:val="22"/>
        </w:rPr>
        <w:t>i) la subordinación jerárquica respecto del Secretario de Gobierno;</w:t>
      </w:r>
    </w:p>
    <w:p w14:paraId="525D5A7A" w14:textId="7B5C94D3" w:rsidR="00A37E7A" w:rsidRPr="00A37E7A" w:rsidRDefault="00A37E7A" w:rsidP="00BD723F">
      <w:pPr>
        <w:shd w:val="clear" w:color="auto" w:fill="FFFFFF"/>
        <w:spacing w:before="100" w:beforeAutospacing="1" w:after="100" w:afterAutospacing="1"/>
        <w:ind w:left="709"/>
        <w:jc w:val="both"/>
        <w:rPr>
          <w:rFonts w:ascii="Arial" w:eastAsia="Times New Roman" w:hAnsi="Arial" w:cs="Arial"/>
          <w:color w:val="000000" w:themeColor="text1"/>
          <w:sz w:val="22"/>
          <w:szCs w:val="22"/>
        </w:rPr>
      </w:pPr>
      <w:r w:rsidRPr="00A37E7A">
        <w:rPr>
          <w:rFonts w:ascii="Arial" w:eastAsia="Times New Roman" w:hAnsi="Arial" w:cs="Arial"/>
          <w:color w:val="000000" w:themeColor="text1"/>
          <w:sz w:val="22"/>
          <w:szCs w:val="22"/>
        </w:rPr>
        <w:t>ii) la circunstancia de que el jefe inmediato de la funcionaria tendría la condición de heredero de uno de los predios involucrados en el asunto.</w:t>
      </w:r>
    </w:p>
    <w:p w14:paraId="6264E252" w14:textId="77777777" w:rsidR="00A37E7A" w:rsidRPr="00A37E7A" w:rsidRDefault="00A37E7A" w:rsidP="00A37E7A">
      <w:pPr>
        <w:shd w:val="clear" w:color="auto" w:fill="FFFFFF"/>
        <w:spacing w:before="100" w:beforeAutospacing="1" w:after="100" w:afterAutospacing="1"/>
        <w:jc w:val="both"/>
        <w:rPr>
          <w:rFonts w:ascii="Arial" w:eastAsia="Times New Roman" w:hAnsi="Arial" w:cs="Arial"/>
          <w:color w:val="000000" w:themeColor="text1"/>
          <w:sz w:val="22"/>
          <w:szCs w:val="22"/>
        </w:rPr>
      </w:pPr>
      <w:r w:rsidRPr="00A37E7A">
        <w:rPr>
          <w:rFonts w:ascii="Arial" w:eastAsia="Times New Roman" w:hAnsi="Arial" w:cs="Arial"/>
          <w:color w:val="000000" w:themeColor="text1"/>
          <w:sz w:val="22"/>
          <w:szCs w:val="22"/>
        </w:rPr>
        <w:t>Sin embargo, ninguna de dichas situaciones encuadra objetivamente dentro de las causales legalmente previstas.</w:t>
      </w:r>
    </w:p>
    <w:p w14:paraId="534B421F" w14:textId="77777777" w:rsidR="00A37E7A" w:rsidRPr="00A37E7A" w:rsidRDefault="00A37E7A" w:rsidP="00A37E7A">
      <w:pPr>
        <w:shd w:val="clear" w:color="auto" w:fill="FFFFFF"/>
        <w:spacing w:before="100" w:beforeAutospacing="1" w:after="100" w:afterAutospacing="1"/>
        <w:jc w:val="both"/>
        <w:rPr>
          <w:rFonts w:ascii="Arial" w:eastAsia="Times New Roman" w:hAnsi="Arial" w:cs="Arial"/>
          <w:color w:val="000000" w:themeColor="text1"/>
          <w:sz w:val="22"/>
          <w:szCs w:val="22"/>
        </w:rPr>
      </w:pPr>
      <w:r w:rsidRPr="00A37E7A">
        <w:rPr>
          <w:rFonts w:ascii="Arial" w:eastAsia="Times New Roman" w:hAnsi="Arial" w:cs="Arial"/>
          <w:color w:val="000000" w:themeColor="text1"/>
          <w:sz w:val="22"/>
          <w:szCs w:val="22"/>
        </w:rPr>
        <w:t>En primer lugar, la sola relación de subordinación administrativa respecto de un superior jerárquico no configura impedimento. Aceptar dicha tesis conduciría al absurdo jurídico de entender impedidos a todos los funcionarios subordinados cuando un superior tenga interés indirecto o expectativa eventual en asuntos conocidos por dependencias adscritas a la entidad.</w:t>
      </w:r>
    </w:p>
    <w:p w14:paraId="09349367" w14:textId="77777777" w:rsidR="00A37E7A" w:rsidRPr="00A37E7A" w:rsidRDefault="00A37E7A" w:rsidP="00A37E7A">
      <w:pPr>
        <w:shd w:val="clear" w:color="auto" w:fill="FFFFFF"/>
        <w:spacing w:before="100" w:beforeAutospacing="1" w:after="100" w:afterAutospacing="1"/>
        <w:jc w:val="both"/>
        <w:rPr>
          <w:rFonts w:ascii="Arial" w:eastAsia="Times New Roman" w:hAnsi="Arial" w:cs="Arial"/>
          <w:color w:val="000000" w:themeColor="text1"/>
          <w:sz w:val="22"/>
          <w:szCs w:val="22"/>
        </w:rPr>
      </w:pPr>
      <w:r w:rsidRPr="00A37E7A">
        <w:rPr>
          <w:rFonts w:ascii="Arial" w:eastAsia="Times New Roman" w:hAnsi="Arial" w:cs="Arial"/>
          <w:color w:val="000000" w:themeColor="text1"/>
          <w:sz w:val="22"/>
          <w:szCs w:val="22"/>
        </w:rPr>
        <w:t>La estructura jerárquica de la administración pública implica necesariamente relaciones funcionales de subordinación, sin que ello destruya per se la imparcialidad del servidor público.</w:t>
      </w:r>
    </w:p>
    <w:p w14:paraId="41079EB9" w14:textId="77777777" w:rsidR="00A37E7A" w:rsidRPr="00A37E7A" w:rsidRDefault="00A37E7A" w:rsidP="00A37E7A">
      <w:pPr>
        <w:shd w:val="clear" w:color="auto" w:fill="FFFFFF"/>
        <w:spacing w:before="100" w:beforeAutospacing="1" w:after="100" w:afterAutospacing="1"/>
        <w:jc w:val="both"/>
        <w:rPr>
          <w:rFonts w:ascii="Arial" w:eastAsia="Times New Roman" w:hAnsi="Arial" w:cs="Arial"/>
          <w:color w:val="000000" w:themeColor="text1"/>
          <w:sz w:val="22"/>
          <w:szCs w:val="22"/>
        </w:rPr>
      </w:pPr>
      <w:r w:rsidRPr="00A37E7A">
        <w:rPr>
          <w:rFonts w:ascii="Arial" w:eastAsia="Times New Roman" w:hAnsi="Arial" w:cs="Arial"/>
          <w:color w:val="000000" w:themeColor="text1"/>
          <w:sz w:val="22"/>
          <w:szCs w:val="22"/>
        </w:rPr>
        <w:t>En segundo lugar, la Inspectora invoca el numeral 1 del artículo 11 de la Ley 1437 de 2011, relativo a “tener interés particular y directo en la regulación, gestión, control o decisión del asunto”. No obstante, del escrito no se desprende que la funcionaria tenga un interés propio, actual, directo o personal en el resultado de la actuación administrativa.</w:t>
      </w:r>
    </w:p>
    <w:p w14:paraId="5C6103E9" w14:textId="77777777" w:rsidR="00A37E7A" w:rsidRPr="00A37E7A" w:rsidRDefault="00A37E7A" w:rsidP="00A37E7A">
      <w:pPr>
        <w:shd w:val="clear" w:color="auto" w:fill="FFFFFF"/>
        <w:spacing w:before="100" w:beforeAutospacing="1" w:after="100" w:afterAutospacing="1"/>
        <w:jc w:val="both"/>
        <w:rPr>
          <w:rFonts w:ascii="Arial" w:eastAsia="Times New Roman" w:hAnsi="Arial" w:cs="Arial"/>
          <w:color w:val="000000" w:themeColor="text1"/>
          <w:sz w:val="22"/>
          <w:szCs w:val="22"/>
        </w:rPr>
      </w:pPr>
      <w:r w:rsidRPr="00A37E7A">
        <w:rPr>
          <w:rFonts w:ascii="Arial" w:eastAsia="Times New Roman" w:hAnsi="Arial" w:cs="Arial"/>
          <w:color w:val="000000" w:themeColor="text1"/>
          <w:sz w:val="22"/>
          <w:szCs w:val="22"/>
        </w:rPr>
        <w:t>La eventual incomodidad laboral o afectación del “clima laboral” mencionada por la funcionaria constituye una apreciación subjetiva y eventual, pero no un interés jurídico directo en los términos exigidos por la norma.</w:t>
      </w:r>
    </w:p>
    <w:p w14:paraId="13E85AB5" w14:textId="43FA7B64" w:rsidR="00A37E7A" w:rsidRPr="00A37E7A" w:rsidRDefault="00A37E7A" w:rsidP="00A37E7A">
      <w:pPr>
        <w:shd w:val="clear" w:color="auto" w:fill="FFFFFF"/>
        <w:spacing w:before="100" w:beforeAutospacing="1" w:after="100" w:afterAutospacing="1"/>
        <w:jc w:val="both"/>
        <w:rPr>
          <w:rFonts w:ascii="Arial" w:eastAsia="Times New Roman" w:hAnsi="Arial" w:cs="Arial"/>
          <w:color w:val="000000" w:themeColor="text1"/>
          <w:sz w:val="22"/>
          <w:szCs w:val="22"/>
        </w:rPr>
      </w:pPr>
      <w:r w:rsidRPr="00A37E7A">
        <w:rPr>
          <w:rFonts w:ascii="Arial" w:eastAsia="Times New Roman" w:hAnsi="Arial" w:cs="Arial"/>
          <w:color w:val="000000" w:themeColor="text1"/>
          <w:sz w:val="22"/>
          <w:szCs w:val="22"/>
        </w:rPr>
        <w:t>La jurisprudencia contencioso-administrativa ha sido consistente en señalar que el interés que configura impedimento debe ser</w:t>
      </w:r>
      <w:r w:rsidR="00BD723F">
        <w:rPr>
          <w:rFonts w:ascii="Arial" w:eastAsia="Times New Roman" w:hAnsi="Arial" w:cs="Arial"/>
          <w:color w:val="000000" w:themeColor="text1"/>
          <w:sz w:val="22"/>
          <w:szCs w:val="22"/>
        </w:rPr>
        <w:t xml:space="preserve"> </w:t>
      </w:r>
      <w:r w:rsidRPr="00A37E7A">
        <w:rPr>
          <w:rFonts w:ascii="Arial" w:eastAsia="Times New Roman" w:hAnsi="Arial" w:cs="Arial"/>
          <w:color w:val="000000" w:themeColor="text1"/>
          <w:sz w:val="22"/>
          <w:szCs w:val="22"/>
        </w:rPr>
        <w:t>personal;</w:t>
      </w:r>
      <w:r w:rsidR="00BD723F">
        <w:rPr>
          <w:rFonts w:ascii="Arial" w:eastAsia="Times New Roman" w:hAnsi="Arial" w:cs="Arial"/>
          <w:color w:val="000000" w:themeColor="text1"/>
          <w:sz w:val="22"/>
          <w:szCs w:val="22"/>
        </w:rPr>
        <w:t xml:space="preserve"> </w:t>
      </w:r>
      <w:r w:rsidRPr="00A37E7A">
        <w:rPr>
          <w:rFonts w:ascii="Arial" w:eastAsia="Times New Roman" w:hAnsi="Arial" w:cs="Arial"/>
          <w:color w:val="000000" w:themeColor="text1"/>
          <w:sz w:val="22"/>
          <w:szCs w:val="22"/>
        </w:rPr>
        <w:t>concreto;</w:t>
      </w:r>
      <w:r w:rsidR="00BD723F">
        <w:rPr>
          <w:rFonts w:ascii="Arial" w:eastAsia="Times New Roman" w:hAnsi="Arial" w:cs="Arial"/>
          <w:color w:val="000000" w:themeColor="text1"/>
          <w:sz w:val="22"/>
          <w:szCs w:val="22"/>
        </w:rPr>
        <w:t xml:space="preserve"> </w:t>
      </w:r>
      <w:r w:rsidRPr="00A37E7A">
        <w:rPr>
          <w:rFonts w:ascii="Arial" w:eastAsia="Times New Roman" w:hAnsi="Arial" w:cs="Arial"/>
          <w:color w:val="000000" w:themeColor="text1"/>
          <w:sz w:val="22"/>
          <w:szCs w:val="22"/>
        </w:rPr>
        <w:t>actual;</w:t>
      </w:r>
      <w:r w:rsidR="00BD723F">
        <w:rPr>
          <w:rFonts w:ascii="Arial" w:eastAsia="Times New Roman" w:hAnsi="Arial" w:cs="Arial"/>
          <w:color w:val="000000" w:themeColor="text1"/>
          <w:sz w:val="22"/>
          <w:szCs w:val="22"/>
        </w:rPr>
        <w:t xml:space="preserve"> </w:t>
      </w:r>
      <w:r w:rsidRPr="00A37E7A">
        <w:rPr>
          <w:rFonts w:ascii="Arial" w:eastAsia="Times New Roman" w:hAnsi="Arial" w:cs="Arial"/>
          <w:color w:val="000000" w:themeColor="text1"/>
          <w:sz w:val="22"/>
          <w:szCs w:val="22"/>
        </w:rPr>
        <w:t>directo; y</w:t>
      </w:r>
      <w:r w:rsidR="00BD723F">
        <w:rPr>
          <w:rFonts w:ascii="Arial" w:eastAsia="Times New Roman" w:hAnsi="Arial" w:cs="Arial"/>
          <w:color w:val="000000" w:themeColor="text1"/>
          <w:sz w:val="22"/>
          <w:szCs w:val="22"/>
        </w:rPr>
        <w:t xml:space="preserve"> </w:t>
      </w:r>
      <w:r w:rsidRPr="00A37E7A">
        <w:rPr>
          <w:rFonts w:ascii="Arial" w:eastAsia="Times New Roman" w:hAnsi="Arial" w:cs="Arial"/>
          <w:color w:val="000000" w:themeColor="text1"/>
          <w:sz w:val="22"/>
          <w:szCs w:val="22"/>
        </w:rPr>
        <w:t>jurídicamente relevante.</w:t>
      </w:r>
    </w:p>
    <w:p w14:paraId="53EC9184" w14:textId="77777777" w:rsidR="00A37E7A" w:rsidRPr="00A37E7A" w:rsidRDefault="00A37E7A" w:rsidP="00A37E7A">
      <w:pPr>
        <w:shd w:val="clear" w:color="auto" w:fill="FFFFFF"/>
        <w:spacing w:before="100" w:beforeAutospacing="1" w:after="100" w:afterAutospacing="1"/>
        <w:jc w:val="both"/>
        <w:rPr>
          <w:rFonts w:ascii="Arial" w:eastAsia="Times New Roman" w:hAnsi="Arial" w:cs="Arial"/>
          <w:color w:val="000000" w:themeColor="text1"/>
          <w:sz w:val="22"/>
          <w:szCs w:val="22"/>
        </w:rPr>
      </w:pPr>
      <w:r w:rsidRPr="00A37E7A">
        <w:rPr>
          <w:rFonts w:ascii="Arial" w:eastAsia="Times New Roman" w:hAnsi="Arial" w:cs="Arial"/>
          <w:color w:val="000000" w:themeColor="text1"/>
          <w:sz w:val="22"/>
          <w:szCs w:val="22"/>
        </w:rPr>
        <w:t>No basta la existencia de relaciones funcionales, afinidades laborales, percepciones subjetivas o hipótesis eventuales de tensión institucional.</w:t>
      </w:r>
    </w:p>
    <w:p w14:paraId="5849E775" w14:textId="28E81486" w:rsidR="00A37E7A" w:rsidRPr="00A37E7A" w:rsidRDefault="00A37E7A" w:rsidP="00BD723F">
      <w:pPr>
        <w:shd w:val="clear" w:color="auto" w:fill="FFFFFF"/>
        <w:spacing w:before="100" w:beforeAutospacing="1" w:after="100" w:afterAutospacing="1"/>
        <w:jc w:val="both"/>
        <w:rPr>
          <w:rFonts w:ascii="Arial" w:eastAsia="Times New Roman" w:hAnsi="Arial" w:cs="Arial"/>
          <w:color w:val="000000" w:themeColor="text1"/>
          <w:sz w:val="22"/>
          <w:szCs w:val="22"/>
        </w:rPr>
      </w:pPr>
      <w:r w:rsidRPr="00A37E7A">
        <w:rPr>
          <w:rFonts w:ascii="Arial" w:eastAsia="Times New Roman" w:hAnsi="Arial" w:cs="Arial"/>
          <w:color w:val="000000" w:themeColor="text1"/>
          <w:sz w:val="22"/>
          <w:szCs w:val="22"/>
        </w:rPr>
        <w:t>Dicha situación no crea por sí sola vínculo jurídico, económico o interés directo capaz de comprometer objetivamente la imparcialidad funcional de la servidora pública</w:t>
      </w:r>
      <w:r w:rsidR="00BD723F">
        <w:rPr>
          <w:rFonts w:ascii="Arial" w:eastAsia="Times New Roman" w:hAnsi="Arial" w:cs="Arial"/>
          <w:color w:val="000000" w:themeColor="text1"/>
          <w:sz w:val="22"/>
          <w:szCs w:val="22"/>
        </w:rPr>
        <w:t>, l</w:t>
      </w:r>
      <w:r w:rsidRPr="00A37E7A">
        <w:rPr>
          <w:rFonts w:ascii="Arial" w:eastAsia="Times New Roman" w:hAnsi="Arial" w:cs="Arial"/>
          <w:color w:val="000000" w:themeColor="text1"/>
          <w:sz w:val="22"/>
          <w:szCs w:val="22"/>
        </w:rPr>
        <w:t>a remisión efectuada por el artículo 229 de la Ley 1801 de 2016 al régimen de impedimentos y recusaciones de</w:t>
      </w:r>
      <w:r w:rsidR="00BD723F">
        <w:rPr>
          <w:rFonts w:ascii="Arial" w:eastAsia="Times New Roman" w:hAnsi="Arial" w:cs="Arial"/>
          <w:color w:val="000000" w:themeColor="text1"/>
          <w:sz w:val="22"/>
          <w:szCs w:val="22"/>
        </w:rPr>
        <w:t xml:space="preserve"> la Ley 1437 de 2011, </w:t>
      </w:r>
      <w:r w:rsidRPr="00A37E7A">
        <w:rPr>
          <w:rFonts w:ascii="Arial" w:eastAsia="Times New Roman" w:hAnsi="Arial" w:cs="Arial"/>
          <w:color w:val="000000" w:themeColor="text1"/>
          <w:sz w:val="22"/>
          <w:szCs w:val="22"/>
        </w:rPr>
        <w:t>no habilita interpretaciones extensivas ni causales abiertas</w:t>
      </w:r>
      <w:r w:rsidR="00E1419A">
        <w:rPr>
          <w:rFonts w:ascii="Arial" w:eastAsia="Times New Roman" w:hAnsi="Arial" w:cs="Arial"/>
          <w:color w:val="000000" w:themeColor="text1"/>
          <w:sz w:val="22"/>
          <w:szCs w:val="22"/>
        </w:rPr>
        <w:t>, siendo pertinente concluir desde un análisis</w:t>
      </w:r>
      <w:r w:rsidRPr="00A37E7A">
        <w:rPr>
          <w:rFonts w:ascii="Arial" w:eastAsia="Times New Roman" w:hAnsi="Arial" w:cs="Arial"/>
          <w:color w:val="000000" w:themeColor="text1"/>
          <w:sz w:val="22"/>
          <w:szCs w:val="22"/>
        </w:rPr>
        <w:t xml:space="preserve"> estrictamente jurídico, </w:t>
      </w:r>
      <w:r w:rsidR="00E1419A">
        <w:rPr>
          <w:rFonts w:ascii="Arial" w:eastAsia="Times New Roman" w:hAnsi="Arial" w:cs="Arial"/>
          <w:color w:val="000000" w:themeColor="text1"/>
          <w:sz w:val="22"/>
          <w:szCs w:val="22"/>
        </w:rPr>
        <w:t xml:space="preserve">que </w:t>
      </w:r>
      <w:r w:rsidRPr="00A37E7A">
        <w:rPr>
          <w:rFonts w:ascii="Arial" w:eastAsia="Times New Roman" w:hAnsi="Arial" w:cs="Arial"/>
          <w:color w:val="000000" w:themeColor="text1"/>
          <w:sz w:val="22"/>
          <w:szCs w:val="22"/>
        </w:rPr>
        <w:t>la causal invocada no se acredita</w:t>
      </w:r>
      <w:r w:rsidR="00E1419A">
        <w:rPr>
          <w:rFonts w:ascii="Arial" w:eastAsia="Times New Roman" w:hAnsi="Arial" w:cs="Arial"/>
          <w:color w:val="000000" w:themeColor="text1"/>
          <w:sz w:val="22"/>
          <w:szCs w:val="22"/>
        </w:rPr>
        <w:t xml:space="preserve"> en el marco de la norma transcrita en líneas anteriores</w:t>
      </w:r>
      <w:r w:rsidRPr="00A37E7A">
        <w:rPr>
          <w:rFonts w:ascii="Arial" w:eastAsia="Times New Roman" w:hAnsi="Arial" w:cs="Arial"/>
          <w:color w:val="000000" w:themeColor="text1"/>
          <w:sz w:val="22"/>
          <w:szCs w:val="22"/>
        </w:rPr>
        <w:t>.</w:t>
      </w:r>
    </w:p>
    <w:p w14:paraId="7C7B3828" w14:textId="50085FCE" w:rsidR="002A5AFE" w:rsidRPr="00A37E7A" w:rsidRDefault="002A5AFE" w:rsidP="002A5AFE">
      <w:pPr>
        <w:pStyle w:val="NormalWeb"/>
        <w:jc w:val="both"/>
        <w:rPr>
          <w:sz w:val="22"/>
          <w:szCs w:val="22"/>
        </w:rPr>
      </w:pPr>
      <w:r w:rsidRPr="00A37E7A">
        <w:rPr>
          <w:rFonts w:ascii="Arial" w:hAnsi="Arial" w:cs="Arial"/>
          <w:sz w:val="22"/>
          <w:szCs w:val="22"/>
        </w:rPr>
        <w:t xml:space="preserve">En ese sentido, este Despacho procederá a adoptar la decisión de </w:t>
      </w:r>
      <w:r w:rsidR="00E1419A" w:rsidRPr="00E1419A">
        <w:rPr>
          <w:rFonts w:ascii="Arial" w:hAnsi="Arial" w:cs="Arial"/>
          <w:b/>
          <w:bCs/>
          <w:sz w:val="22"/>
          <w:szCs w:val="22"/>
        </w:rPr>
        <w:t>NO ACEPTAR</w:t>
      </w:r>
      <w:r w:rsidRPr="00A37E7A">
        <w:rPr>
          <w:rFonts w:ascii="Arial" w:hAnsi="Arial" w:cs="Arial"/>
          <w:sz w:val="22"/>
          <w:szCs w:val="22"/>
        </w:rPr>
        <w:t xml:space="preserve"> el impedimento manifestado, de conformidad con lo previsto en la </w:t>
      </w:r>
      <w:r w:rsidRPr="00A37E7A">
        <w:rPr>
          <w:rStyle w:val="whitespace-normal"/>
          <w:rFonts w:ascii="Arial" w:hAnsi="Arial" w:cs="Arial"/>
          <w:sz w:val="22"/>
          <w:szCs w:val="22"/>
        </w:rPr>
        <w:t>Ley 1437 de 2011</w:t>
      </w:r>
      <w:r w:rsidRPr="00A37E7A">
        <w:rPr>
          <w:rFonts w:ascii="Arial" w:hAnsi="Arial" w:cs="Arial"/>
          <w:sz w:val="22"/>
          <w:szCs w:val="22"/>
        </w:rPr>
        <w:t xml:space="preserve">, al </w:t>
      </w:r>
      <w:r w:rsidR="00E1419A" w:rsidRPr="00E1419A">
        <w:rPr>
          <w:rFonts w:ascii="Arial" w:hAnsi="Arial" w:cs="Arial"/>
          <w:b/>
          <w:bCs/>
          <w:sz w:val="22"/>
          <w:szCs w:val="22"/>
        </w:rPr>
        <w:t>NO</w:t>
      </w:r>
      <w:r w:rsidR="00E1419A">
        <w:rPr>
          <w:rFonts w:ascii="Arial" w:hAnsi="Arial" w:cs="Arial"/>
          <w:sz w:val="22"/>
          <w:szCs w:val="22"/>
        </w:rPr>
        <w:t xml:space="preserve"> </w:t>
      </w:r>
      <w:r w:rsidRPr="00A37E7A">
        <w:rPr>
          <w:rFonts w:ascii="Arial" w:hAnsi="Arial" w:cs="Arial"/>
          <w:sz w:val="22"/>
          <w:szCs w:val="22"/>
        </w:rPr>
        <w:lastRenderedPageBreak/>
        <w:t>encontrarse debidamente acreditada una causal legal que comprometa la imparcialidad del funcionario</w:t>
      </w:r>
      <w:r w:rsidRPr="00A37E7A">
        <w:rPr>
          <w:sz w:val="22"/>
          <w:szCs w:val="22"/>
        </w:rPr>
        <w:t>.</w:t>
      </w:r>
    </w:p>
    <w:p w14:paraId="6CC7D847" w14:textId="31C20D0B" w:rsidR="007A4FF9" w:rsidRPr="00A37E7A" w:rsidRDefault="007A4FF9" w:rsidP="007A4FF9">
      <w:pPr>
        <w:shd w:val="clear" w:color="auto" w:fill="FFFFFF"/>
        <w:spacing w:before="100" w:beforeAutospacing="1" w:after="100" w:afterAutospacing="1"/>
        <w:jc w:val="both"/>
        <w:rPr>
          <w:rFonts w:ascii="Arial" w:eastAsia="Times New Roman" w:hAnsi="Arial" w:cs="Arial"/>
          <w:color w:val="000000" w:themeColor="text1"/>
          <w:sz w:val="22"/>
          <w:szCs w:val="22"/>
        </w:rPr>
      </w:pPr>
      <w:r w:rsidRPr="00A37E7A">
        <w:rPr>
          <w:rFonts w:ascii="Arial" w:eastAsia="Times New Roman" w:hAnsi="Arial" w:cs="Arial"/>
          <w:color w:val="000000" w:themeColor="text1"/>
          <w:sz w:val="22"/>
          <w:szCs w:val="22"/>
        </w:rPr>
        <w:t>Que, en mérito de lo expuesto,</w:t>
      </w:r>
    </w:p>
    <w:p w14:paraId="0E8D0C49" w14:textId="2F21285F" w:rsidR="007A4FF9" w:rsidRPr="00A37E7A" w:rsidRDefault="007A4FF9" w:rsidP="007A4FF9">
      <w:pPr>
        <w:shd w:val="clear" w:color="auto" w:fill="FFFFFF"/>
        <w:spacing w:before="100" w:beforeAutospacing="1" w:after="100" w:afterAutospacing="1"/>
        <w:jc w:val="center"/>
        <w:rPr>
          <w:rFonts w:ascii="Arial" w:eastAsia="Times New Roman" w:hAnsi="Arial" w:cs="Arial"/>
          <w:b/>
          <w:bCs/>
          <w:color w:val="000000" w:themeColor="text1"/>
          <w:sz w:val="22"/>
          <w:szCs w:val="22"/>
        </w:rPr>
      </w:pPr>
      <w:r w:rsidRPr="00A37E7A">
        <w:rPr>
          <w:rFonts w:ascii="Arial" w:eastAsia="Times New Roman" w:hAnsi="Arial" w:cs="Arial"/>
          <w:b/>
          <w:bCs/>
          <w:color w:val="000000" w:themeColor="text1"/>
          <w:sz w:val="22"/>
          <w:szCs w:val="22"/>
        </w:rPr>
        <w:t>RESUELVE:</w:t>
      </w:r>
    </w:p>
    <w:p w14:paraId="56144715" w14:textId="7F178537" w:rsidR="008B2EC4" w:rsidRPr="00A37E7A" w:rsidRDefault="007A4FF9" w:rsidP="0076513D">
      <w:pPr>
        <w:shd w:val="clear" w:color="auto" w:fill="FFFFFF"/>
        <w:spacing w:before="100" w:beforeAutospacing="1" w:after="100" w:afterAutospacing="1"/>
        <w:jc w:val="both"/>
        <w:rPr>
          <w:rFonts w:ascii="Arial" w:eastAsia="Times New Roman" w:hAnsi="Arial" w:cs="Arial"/>
          <w:b/>
          <w:bCs/>
          <w:color w:val="000000" w:themeColor="text1"/>
          <w:sz w:val="22"/>
          <w:szCs w:val="22"/>
        </w:rPr>
      </w:pPr>
      <w:r w:rsidRPr="00A37E7A">
        <w:rPr>
          <w:rFonts w:ascii="Arial" w:eastAsia="Times New Roman" w:hAnsi="Arial" w:cs="Arial"/>
          <w:b/>
          <w:bCs/>
          <w:color w:val="000000" w:themeColor="text1"/>
          <w:sz w:val="22"/>
          <w:szCs w:val="22"/>
        </w:rPr>
        <w:t xml:space="preserve">ARTÍCULO 1. </w:t>
      </w:r>
      <w:r w:rsidR="00E1419A">
        <w:rPr>
          <w:rFonts w:ascii="Arial" w:hAnsi="Arial" w:cs="Arial"/>
          <w:b/>
          <w:bCs/>
          <w:sz w:val="22"/>
          <w:szCs w:val="22"/>
        </w:rPr>
        <w:t>NEGAR</w:t>
      </w:r>
      <w:r w:rsidR="004C60DC" w:rsidRPr="00A37E7A">
        <w:rPr>
          <w:sz w:val="22"/>
          <w:szCs w:val="22"/>
        </w:rPr>
        <w:t xml:space="preserve"> </w:t>
      </w:r>
      <w:r w:rsidR="004C60DC" w:rsidRPr="00A37E7A">
        <w:rPr>
          <w:rFonts w:ascii="Arial" w:hAnsi="Arial" w:cs="Arial"/>
          <w:sz w:val="22"/>
          <w:szCs w:val="22"/>
        </w:rPr>
        <w:t>el impedimento manifestado por la doctora ADRIANA PATRICIA QUINTERO SANTIAGO, Inspectora Primera de Policía del Municipio de Cajicá, para continuar conociendo y tramitando el expediente CCIEP-04-2026, de conformidad con la causal prevista en el numeral 16 del artículo 11 de la Ley 1437 de 2011.</w:t>
      </w:r>
    </w:p>
    <w:p w14:paraId="59C00276" w14:textId="341B36EA" w:rsidR="004C60DC" w:rsidRPr="00E1419A" w:rsidRDefault="004E1D74" w:rsidP="004E1D74">
      <w:pPr>
        <w:shd w:val="clear" w:color="auto" w:fill="FFFFFF"/>
        <w:spacing w:before="100" w:beforeAutospacing="1" w:after="100" w:afterAutospacing="1"/>
        <w:jc w:val="both"/>
        <w:rPr>
          <w:rFonts w:ascii="Arial" w:hAnsi="Arial" w:cs="Arial"/>
          <w:b/>
          <w:bCs/>
          <w:sz w:val="22"/>
          <w:szCs w:val="22"/>
        </w:rPr>
      </w:pPr>
      <w:r w:rsidRPr="00A37E7A">
        <w:rPr>
          <w:rFonts w:ascii="Arial" w:eastAsia="Times New Roman" w:hAnsi="Arial" w:cs="Arial"/>
          <w:b/>
          <w:bCs/>
          <w:color w:val="000000" w:themeColor="text1"/>
          <w:sz w:val="22"/>
          <w:szCs w:val="22"/>
        </w:rPr>
        <w:t xml:space="preserve">ARTÍCULO 2. </w:t>
      </w:r>
      <w:r w:rsidR="004C60DC" w:rsidRPr="00A37E7A">
        <w:rPr>
          <w:rFonts w:ascii="Arial" w:hAnsi="Arial" w:cs="Arial"/>
          <w:b/>
          <w:bCs/>
          <w:sz w:val="22"/>
          <w:szCs w:val="22"/>
        </w:rPr>
        <w:t xml:space="preserve">NOTIFICAR </w:t>
      </w:r>
      <w:r w:rsidR="004C60DC" w:rsidRPr="00A37E7A">
        <w:rPr>
          <w:rFonts w:ascii="Arial" w:hAnsi="Arial" w:cs="Arial"/>
          <w:sz w:val="22"/>
          <w:szCs w:val="22"/>
        </w:rPr>
        <w:t>la presente decisión a la doctora ADRIANA PATRICIA QUINTERO SANTIAGO</w:t>
      </w:r>
      <w:r w:rsidR="00E1419A">
        <w:rPr>
          <w:rFonts w:ascii="Arial" w:hAnsi="Arial" w:cs="Arial"/>
          <w:sz w:val="22"/>
          <w:szCs w:val="22"/>
        </w:rPr>
        <w:t>.</w:t>
      </w:r>
    </w:p>
    <w:p w14:paraId="4479E6CA" w14:textId="03F4CD1A" w:rsidR="004C60DC" w:rsidRPr="00A37E7A" w:rsidRDefault="004C60DC" w:rsidP="004E1D74">
      <w:pPr>
        <w:shd w:val="clear" w:color="auto" w:fill="FFFFFF"/>
        <w:spacing w:before="100" w:beforeAutospacing="1" w:after="100" w:afterAutospacing="1"/>
        <w:jc w:val="both"/>
        <w:rPr>
          <w:rFonts w:ascii="Arial" w:eastAsia="Times New Roman" w:hAnsi="Arial" w:cs="Arial"/>
          <w:color w:val="000000" w:themeColor="text1"/>
          <w:sz w:val="22"/>
          <w:szCs w:val="22"/>
        </w:rPr>
      </w:pPr>
      <w:r w:rsidRPr="00A37E7A">
        <w:rPr>
          <w:rFonts w:ascii="Arial" w:eastAsia="Times New Roman" w:hAnsi="Arial" w:cs="Arial"/>
          <w:b/>
          <w:bCs/>
          <w:color w:val="000000" w:themeColor="text1"/>
          <w:sz w:val="22"/>
          <w:szCs w:val="22"/>
        </w:rPr>
        <w:t xml:space="preserve">ARTÍCULO </w:t>
      </w:r>
      <w:r w:rsidR="00E1419A">
        <w:rPr>
          <w:rFonts w:ascii="Arial" w:eastAsia="Times New Roman" w:hAnsi="Arial" w:cs="Arial"/>
          <w:b/>
          <w:bCs/>
          <w:color w:val="000000" w:themeColor="text1"/>
          <w:sz w:val="22"/>
          <w:szCs w:val="22"/>
        </w:rPr>
        <w:t>3</w:t>
      </w:r>
      <w:r w:rsidRPr="00A37E7A">
        <w:rPr>
          <w:rFonts w:ascii="Arial" w:eastAsia="Times New Roman" w:hAnsi="Arial" w:cs="Arial"/>
          <w:b/>
          <w:bCs/>
          <w:color w:val="000000" w:themeColor="text1"/>
          <w:sz w:val="22"/>
          <w:szCs w:val="22"/>
        </w:rPr>
        <w:t>.</w:t>
      </w:r>
      <w:r w:rsidRPr="00A37E7A">
        <w:rPr>
          <w:sz w:val="22"/>
          <w:szCs w:val="22"/>
        </w:rPr>
        <w:t xml:space="preserve"> </w:t>
      </w:r>
      <w:r w:rsidRPr="00A37E7A">
        <w:rPr>
          <w:rFonts w:ascii="Arial" w:hAnsi="Arial" w:cs="Arial"/>
          <w:sz w:val="22"/>
          <w:szCs w:val="22"/>
        </w:rPr>
        <w:t>La presente resolución rige a partir de la fecha de su expedición.</w:t>
      </w:r>
    </w:p>
    <w:p w14:paraId="5C13D883" w14:textId="77777777" w:rsidR="004C60DC" w:rsidRPr="00A37E7A" w:rsidRDefault="004C60DC" w:rsidP="00D523B7">
      <w:pPr>
        <w:jc w:val="both"/>
        <w:rPr>
          <w:rFonts w:ascii="Arial" w:hAnsi="Arial" w:cs="Arial"/>
          <w:color w:val="000000" w:themeColor="text1"/>
          <w:sz w:val="22"/>
          <w:szCs w:val="22"/>
        </w:rPr>
      </w:pPr>
    </w:p>
    <w:p w14:paraId="15F6F0AB" w14:textId="789BC115" w:rsidR="00C52327" w:rsidRPr="00A37E7A" w:rsidRDefault="00D523B7" w:rsidP="00D523B7">
      <w:pPr>
        <w:jc w:val="both"/>
        <w:rPr>
          <w:rFonts w:ascii="Arial" w:hAnsi="Arial" w:cs="Arial"/>
          <w:color w:val="000000" w:themeColor="text1"/>
          <w:sz w:val="22"/>
          <w:szCs w:val="22"/>
        </w:rPr>
      </w:pPr>
      <w:r w:rsidRPr="00A37E7A">
        <w:rPr>
          <w:rFonts w:ascii="Arial" w:hAnsi="Arial" w:cs="Arial"/>
          <w:color w:val="000000" w:themeColor="text1"/>
          <w:sz w:val="22"/>
          <w:szCs w:val="22"/>
        </w:rPr>
        <w:t>Dada en Cajicá a los</w:t>
      </w:r>
      <w:r w:rsidR="002A5AFE" w:rsidRPr="00A37E7A">
        <w:rPr>
          <w:rFonts w:ascii="Arial" w:hAnsi="Arial" w:cs="Arial"/>
          <w:color w:val="000000" w:themeColor="text1"/>
          <w:sz w:val="22"/>
          <w:szCs w:val="22"/>
        </w:rPr>
        <w:t xml:space="preserve"> veinti</w:t>
      </w:r>
      <w:r w:rsidR="004C60DC" w:rsidRPr="00A37E7A">
        <w:rPr>
          <w:rFonts w:ascii="Arial" w:hAnsi="Arial" w:cs="Arial"/>
          <w:color w:val="000000" w:themeColor="text1"/>
          <w:sz w:val="22"/>
          <w:szCs w:val="22"/>
        </w:rPr>
        <w:t>siete</w:t>
      </w:r>
      <w:r w:rsidRPr="00A37E7A">
        <w:rPr>
          <w:rFonts w:ascii="Arial" w:hAnsi="Arial" w:cs="Arial"/>
          <w:color w:val="000000" w:themeColor="text1"/>
          <w:sz w:val="22"/>
          <w:szCs w:val="22"/>
        </w:rPr>
        <w:t xml:space="preserve"> (</w:t>
      </w:r>
      <w:r w:rsidR="002A5AFE" w:rsidRPr="00A37E7A">
        <w:rPr>
          <w:rFonts w:ascii="Arial" w:hAnsi="Arial" w:cs="Arial"/>
          <w:color w:val="000000" w:themeColor="text1"/>
          <w:sz w:val="22"/>
          <w:szCs w:val="22"/>
        </w:rPr>
        <w:t>2</w:t>
      </w:r>
      <w:r w:rsidR="004C60DC" w:rsidRPr="00A37E7A">
        <w:rPr>
          <w:rFonts w:ascii="Arial" w:hAnsi="Arial" w:cs="Arial"/>
          <w:color w:val="000000" w:themeColor="text1"/>
          <w:sz w:val="22"/>
          <w:szCs w:val="22"/>
        </w:rPr>
        <w:t>7</w:t>
      </w:r>
      <w:r w:rsidRPr="00A37E7A">
        <w:rPr>
          <w:rFonts w:ascii="Arial" w:hAnsi="Arial" w:cs="Arial"/>
          <w:color w:val="000000" w:themeColor="text1"/>
          <w:sz w:val="22"/>
          <w:szCs w:val="22"/>
        </w:rPr>
        <w:t xml:space="preserve">) días del mes de </w:t>
      </w:r>
      <w:r w:rsidR="004C60DC" w:rsidRPr="00A37E7A">
        <w:rPr>
          <w:rFonts w:ascii="Arial" w:hAnsi="Arial" w:cs="Arial"/>
          <w:color w:val="000000" w:themeColor="text1"/>
          <w:sz w:val="22"/>
          <w:szCs w:val="22"/>
        </w:rPr>
        <w:t>mayo</w:t>
      </w:r>
      <w:r w:rsidRPr="00A37E7A">
        <w:rPr>
          <w:rFonts w:ascii="Arial" w:hAnsi="Arial" w:cs="Arial"/>
          <w:color w:val="000000" w:themeColor="text1"/>
          <w:sz w:val="22"/>
          <w:szCs w:val="22"/>
        </w:rPr>
        <w:t xml:space="preserve"> de 202</w:t>
      </w:r>
      <w:r w:rsidR="007C1277" w:rsidRPr="00A37E7A">
        <w:rPr>
          <w:rFonts w:ascii="Arial" w:hAnsi="Arial" w:cs="Arial"/>
          <w:color w:val="000000" w:themeColor="text1"/>
          <w:sz w:val="22"/>
          <w:szCs w:val="22"/>
        </w:rPr>
        <w:t>6</w:t>
      </w:r>
    </w:p>
    <w:p w14:paraId="2651DB85" w14:textId="77777777" w:rsidR="00D523B7" w:rsidRPr="00A37E7A" w:rsidRDefault="00D523B7">
      <w:pPr>
        <w:jc w:val="center"/>
        <w:rPr>
          <w:rFonts w:ascii="Arial" w:hAnsi="Arial" w:cs="Arial"/>
          <w:b/>
          <w:color w:val="000000" w:themeColor="text1"/>
          <w:sz w:val="22"/>
          <w:szCs w:val="22"/>
        </w:rPr>
      </w:pPr>
    </w:p>
    <w:p w14:paraId="6FA52C14" w14:textId="77777777" w:rsidR="00B723BF" w:rsidRPr="00A37E7A" w:rsidRDefault="00B723BF">
      <w:pPr>
        <w:jc w:val="center"/>
        <w:rPr>
          <w:rFonts w:ascii="Arial" w:hAnsi="Arial" w:cs="Arial"/>
          <w:b/>
          <w:color w:val="000000" w:themeColor="text1"/>
          <w:sz w:val="22"/>
          <w:szCs w:val="22"/>
        </w:rPr>
      </w:pPr>
    </w:p>
    <w:p w14:paraId="3D7B7F07" w14:textId="1DEABADB" w:rsidR="00C52327" w:rsidRPr="00A37E7A" w:rsidRDefault="00C95621">
      <w:pPr>
        <w:jc w:val="center"/>
        <w:rPr>
          <w:rFonts w:ascii="Arial" w:hAnsi="Arial" w:cs="Arial"/>
          <w:b/>
          <w:color w:val="000000" w:themeColor="text1"/>
          <w:sz w:val="22"/>
          <w:szCs w:val="22"/>
        </w:rPr>
      </w:pPr>
      <w:r w:rsidRPr="00A37E7A">
        <w:rPr>
          <w:rFonts w:ascii="Arial" w:hAnsi="Arial" w:cs="Arial"/>
          <w:b/>
          <w:color w:val="000000" w:themeColor="text1"/>
          <w:sz w:val="22"/>
          <w:szCs w:val="22"/>
        </w:rPr>
        <w:t>COMUNIQUESE</w:t>
      </w:r>
      <w:r w:rsidR="00202AD7" w:rsidRPr="00A37E7A">
        <w:rPr>
          <w:rFonts w:ascii="Arial" w:hAnsi="Arial" w:cs="Arial"/>
          <w:b/>
          <w:color w:val="000000" w:themeColor="text1"/>
          <w:sz w:val="22"/>
          <w:szCs w:val="22"/>
        </w:rPr>
        <w:t xml:space="preserve"> Y CÚMPLASE:</w:t>
      </w:r>
    </w:p>
    <w:p w14:paraId="04EB4746" w14:textId="5119F383" w:rsidR="00D523B7" w:rsidRPr="008F4A7F" w:rsidRDefault="00D523B7">
      <w:pPr>
        <w:jc w:val="center"/>
        <w:rPr>
          <w:rFonts w:ascii="Arial" w:hAnsi="Arial" w:cs="Arial"/>
          <w:b/>
          <w:color w:val="000000" w:themeColor="text1"/>
          <w:sz w:val="22"/>
          <w:szCs w:val="22"/>
        </w:rPr>
      </w:pPr>
    </w:p>
    <w:p w14:paraId="6B9FD36F" w14:textId="6EA985E7" w:rsidR="00D523B7" w:rsidRDefault="00D523B7">
      <w:pPr>
        <w:jc w:val="center"/>
        <w:rPr>
          <w:rFonts w:ascii="Arial" w:hAnsi="Arial" w:cs="Arial"/>
          <w:b/>
          <w:color w:val="000000" w:themeColor="text1"/>
          <w:sz w:val="22"/>
          <w:szCs w:val="22"/>
        </w:rPr>
      </w:pPr>
    </w:p>
    <w:p w14:paraId="7882ED18" w14:textId="77777777" w:rsidR="004C60DC" w:rsidRDefault="004C60DC">
      <w:pPr>
        <w:jc w:val="center"/>
        <w:rPr>
          <w:rFonts w:ascii="Arial" w:hAnsi="Arial" w:cs="Arial"/>
          <w:b/>
          <w:color w:val="000000" w:themeColor="text1"/>
          <w:sz w:val="22"/>
          <w:szCs w:val="22"/>
        </w:rPr>
      </w:pPr>
    </w:p>
    <w:p w14:paraId="3B867D42" w14:textId="77777777" w:rsidR="007C1277" w:rsidRPr="008F4A7F" w:rsidRDefault="007C1277">
      <w:pPr>
        <w:jc w:val="center"/>
        <w:rPr>
          <w:rFonts w:ascii="Arial" w:hAnsi="Arial" w:cs="Arial"/>
          <w:b/>
          <w:color w:val="000000" w:themeColor="text1"/>
          <w:sz w:val="22"/>
          <w:szCs w:val="22"/>
        </w:rPr>
      </w:pPr>
    </w:p>
    <w:p w14:paraId="62523938" w14:textId="77777777" w:rsidR="00C52327" w:rsidRPr="008F4A7F" w:rsidRDefault="00C52327">
      <w:pPr>
        <w:rPr>
          <w:rFonts w:ascii="Arial" w:hAnsi="Arial" w:cs="Arial"/>
          <w:color w:val="000000" w:themeColor="text1"/>
          <w:sz w:val="22"/>
          <w:szCs w:val="22"/>
        </w:rPr>
      </w:pPr>
    </w:p>
    <w:p w14:paraId="0769FC1A" w14:textId="46DB85D1" w:rsidR="00C52327" w:rsidRPr="008F4A7F" w:rsidRDefault="004C60DC">
      <w:pPr>
        <w:jc w:val="center"/>
        <w:rPr>
          <w:rFonts w:ascii="Arial" w:hAnsi="Arial" w:cs="Arial"/>
          <w:b/>
          <w:color w:val="000000" w:themeColor="text1"/>
          <w:sz w:val="22"/>
          <w:szCs w:val="22"/>
        </w:rPr>
      </w:pPr>
      <w:r>
        <w:rPr>
          <w:rFonts w:ascii="Arial" w:hAnsi="Arial" w:cs="Arial"/>
          <w:b/>
          <w:color w:val="000000" w:themeColor="text1"/>
          <w:sz w:val="22"/>
          <w:szCs w:val="22"/>
        </w:rPr>
        <w:t xml:space="preserve">Ing., FABIOLA JÁCOME RINCÓN </w:t>
      </w:r>
      <w:r w:rsidR="002A5AFE">
        <w:rPr>
          <w:rFonts w:ascii="Arial" w:hAnsi="Arial" w:cs="Arial"/>
          <w:b/>
          <w:color w:val="000000" w:themeColor="text1"/>
          <w:sz w:val="22"/>
          <w:szCs w:val="22"/>
        </w:rPr>
        <w:t xml:space="preserve"> </w:t>
      </w:r>
    </w:p>
    <w:p w14:paraId="07F9345C" w14:textId="21034D59" w:rsidR="00C52327" w:rsidRPr="008F4A7F" w:rsidRDefault="00202AD7">
      <w:pPr>
        <w:jc w:val="center"/>
        <w:rPr>
          <w:rFonts w:ascii="Arial" w:hAnsi="Arial" w:cs="Arial"/>
          <w:color w:val="000000" w:themeColor="text1"/>
          <w:sz w:val="22"/>
          <w:szCs w:val="22"/>
        </w:rPr>
      </w:pPr>
      <w:r w:rsidRPr="008F4A7F">
        <w:rPr>
          <w:rFonts w:ascii="Arial" w:hAnsi="Arial" w:cs="Arial"/>
          <w:color w:val="000000" w:themeColor="text1"/>
          <w:sz w:val="22"/>
          <w:szCs w:val="22"/>
        </w:rPr>
        <w:t>Alcalde</w:t>
      </w:r>
      <w:r w:rsidR="004C60DC">
        <w:rPr>
          <w:rFonts w:ascii="Arial" w:hAnsi="Arial" w:cs="Arial"/>
          <w:color w:val="000000" w:themeColor="text1"/>
          <w:sz w:val="22"/>
          <w:szCs w:val="22"/>
        </w:rPr>
        <w:t xml:space="preserve">sa Municipal de Cajicá </w:t>
      </w:r>
    </w:p>
    <w:p w14:paraId="6D71FBA5" w14:textId="77777777" w:rsidR="00C52327" w:rsidRPr="008F4A7F" w:rsidRDefault="00C52327">
      <w:pPr>
        <w:jc w:val="both"/>
        <w:rPr>
          <w:color w:val="000000" w:themeColor="text1"/>
        </w:rPr>
      </w:pPr>
    </w:p>
    <w:tbl>
      <w:tblPr>
        <w:tblStyle w:val="a"/>
        <w:tblW w:w="11064" w:type="dxa"/>
        <w:tblInd w:w="-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8"/>
        <w:gridCol w:w="3974"/>
        <w:gridCol w:w="2764"/>
        <w:gridCol w:w="2768"/>
      </w:tblGrid>
      <w:tr w:rsidR="008F4A7F" w:rsidRPr="004544C2" w14:paraId="164F5693" w14:textId="77777777">
        <w:trPr>
          <w:trHeight w:val="283"/>
        </w:trPr>
        <w:tc>
          <w:tcPr>
            <w:tcW w:w="1558" w:type="dxa"/>
            <w:tcBorders>
              <w:top w:val="nil"/>
              <w:left w:val="nil"/>
              <w:bottom w:val="single" w:sz="4" w:space="0" w:color="000000"/>
              <w:right w:val="single" w:sz="4" w:space="0" w:color="000000"/>
            </w:tcBorders>
            <w:vAlign w:val="center"/>
          </w:tcPr>
          <w:p w14:paraId="48CFDE0E" w14:textId="77777777" w:rsidR="00C52327" w:rsidRPr="004544C2" w:rsidRDefault="00C52327">
            <w:pPr>
              <w:jc w:val="center"/>
              <w:rPr>
                <w:color w:val="000000" w:themeColor="text1"/>
                <w:sz w:val="16"/>
                <w:szCs w:val="16"/>
              </w:rPr>
            </w:pPr>
          </w:p>
        </w:tc>
        <w:tc>
          <w:tcPr>
            <w:tcW w:w="3974" w:type="dxa"/>
            <w:tcBorders>
              <w:left w:val="single" w:sz="4" w:space="0" w:color="000000"/>
            </w:tcBorders>
            <w:vAlign w:val="center"/>
          </w:tcPr>
          <w:p w14:paraId="69869554" w14:textId="77777777" w:rsidR="00C52327" w:rsidRPr="004544C2" w:rsidRDefault="00202AD7">
            <w:pPr>
              <w:jc w:val="center"/>
              <w:rPr>
                <w:b/>
                <w:color w:val="000000" w:themeColor="text1"/>
                <w:sz w:val="16"/>
                <w:szCs w:val="16"/>
              </w:rPr>
            </w:pPr>
            <w:r w:rsidRPr="004544C2">
              <w:rPr>
                <w:b/>
                <w:color w:val="000000" w:themeColor="text1"/>
                <w:sz w:val="16"/>
                <w:szCs w:val="16"/>
              </w:rPr>
              <w:t>NOMBRE Y APELLIDO</w:t>
            </w:r>
          </w:p>
        </w:tc>
        <w:tc>
          <w:tcPr>
            <w:tcW w:w="2764" w:type="dxa"/>
            <w:vAlign w:val="center"/>
          </w:tcPr>
          <w:p w14:paraId="6B1B93FA" w14:textId="77777777" w:rsidR="00C52327" w:rsidRPr="004544C2" w:rsidRDefault="00202AD7">
            <w:pPr>
              <w:jc w:val="center"/>
              <w:rPr>
                <w:b/>
                <w:color w:val="000000" w:themeColor="text1"/>
                <w:sz w:val="16"/>
                <w:szCs w:val="16"/>
              </w:rPr>
            </w:pPr>
            <w:r w:rsidRPr="004544C2">
              <w:rPr>
                <w:b/>
                <w:color w:val="000000" w:themeColor="text1"/>
                <w:sz w:val="16"/>
                <w:szCs w:val="16"/>
              </w:rPr>
              <w:t>FIRMA</w:t>
            </w:r>
          </w:p>
        </w:tc>
        <w:tc>
          <w:tcPr>
            <w:tcW w:w="2768" w:type="dxa"/>
            <w:vAlign w:val="center"/>
          </w:tcPr>
          <w:p w14:paraId="1C08BD35" w14:textId="77777777" w:rsidR="00C52327" w:rsidRPr="004544C2" w:rsidRDefault="00202AD7">
            <w:pPr>
              <w:jc w:val="center"/>
              <w:rPr>
                <w:b/>
                <w:color w:val="000000" w:themeColor="text1"/>
                <w:sz w:val="16"/>
                <w:szCs w:val="16"/>
              </w:rPr>
            </w:pPr>
            <w:r w:rsidRPr="004544C2">
              <w:rPr>
                <w:b/>
                <w:color w:val="000000" w:themeColor="text1"/>
                <w:sz w:val="16"/>
                <w:szCs w:val="16"/>
              </w:rPr>
              <w:t>CARGO Y ÁREA</w:t>
            </w:r>
          </w:p>
        </w:tc>
      </w:tr>
      <w:tr w:rsidR="008F4A7F" w:rsidRPr="004544C2" w14:paraId="5F5F7FFA" w14:textId="77777777">
        <w:trPr>
          <w:trHeight w:val="283"/>
        </w:trPr>
        <w:tc>
          <w:tcPr>
            <w:tcW w:w="1558" w:type="dxa"/>
            <w:tcBorders>
              <w:top w:val="single" w:sz="4" w:space="0" w:color="000000"/>
            </w:tcBorders>
            <w:vAlign w:val="center"/>
          </w:tcPr>
          <w:p w14:paraId="7CB90157" w14:textId="77777777" w:rsidR="00C52327" w:rsidRPr="004544C2" w:rsidRDefault="00202AD7">
            <w:pPr>
              <w:widowControl w:val="0"/>
              <w:spacing w:line="276" w:lineRule="auto"/>
              <w:jc w:val="center"/>
              <w:rPr>
                <w:b/>
                <w:color w:val="000000" w:themeColor="text1"/>
                <w:sz w:val="16"/>
                <w:szCs w:val="16"/>
              </w:rPr>
            </w:pPr>
            <w:r w:rsidRPr="004544C2">
              <w:rPr>
                <w:b/>
                <w:color w:val="000000" w:themeColor="text1"/>
                <w:sz w:val="16"/>
                <w:szCs w:val="16"/>
              </w:rPr>
              <w:t>Elaboró</w:t>
            </w:r>
          </w:p>
        </w:tc>
        <w:tc>
          <w:tcPr>
            <w:tcW w:w="3974" w:type="dxa"/>
            <w:vAlign w:val="center"/>
          </w:tcPr>
          <w:p w14:paraId="607572CB" w14:textId="2AFA0910" w:rsidR="00C52327" w:rsidRPr="004544C2" w:rsidRDefault="00590B2F">
            <w:pPr>
              <w:jc w:val="center"/>
              <w:rPr>
                <w:color w:val="000000" w:themeColor="text1"/>
                <w:sz w:val="16"/>
                <w:szCs w:val="16"/>
              </w:rPr>
            </w:pPr>
            <w:r>
              <w:rPr>
                <w:color w:val="000000" w:themeColor="text1"/>
                <w:sz w:val="16"/>
                <w:szCs w:val="16"/>
              </w:rPr>
              <w:t>Carolina López Cogua</w:t>
            </w:r>
          </w:p>
        </w:tc>
        <w:tc>
          <w:tcPr>
            <w:tcW w:w="2764" w:type="dxa"/>
            <w:vAlign w:val="center"/>
          </w:tcPr>
          <w:p w14:paraId="14C1D042" w14:textId="35E15169" w:rsidR="00C52327" w:rsidRPr="004544C2" w:rsidRDefault="00C52327">
            <w:pPr>
              <w:jc w:val="center"/>
              <w:rPr>
                <w:color w:val="000000" w:themeColor="text1"/>
                <w:sz w:val="16"/>
                <w:szCs w:val="16"/>
              </w:rPr>
            </w:pPr>
          </w:p>
        </w:tc>
        <w:tc>
          <w:tcPr>
            <w:tcW w:w="2768" w:type="dxa"/>
            <w:vAlign w:val="center"/>
          </w:tcPr>
          <w:p w14:paraId="6A5F26C7" w14:textId="44008127" w:rsidR="00C52327" w:rsidRPr="004544C2" w:rsidRDefault="00590B2F">
            <w:pPr>
              <w:widowControl w:val="0"/>
              <w:spacing w:line="276" w:lineRule="auto"/>
              <w:jc w:val="center"/>
              <w:rPr>
                <w:color w:val="000000" w:themeColor="text1"/>
                <w:sz w:val="16"/>
                <w:szCs w:val="16"/>
              </w:rPr>
            </w:pPr>
            <w:r>
              <w:rPr>
                <w:color w:val="000000" w:themeColor="text1"/>
                <w:sz w:val="16"/>
                <w:szCs w:val="16"/>
              </w:rPr>
              <w:t>Profesional Universitario.</w:t>
            </w:r>
          </w:p>
        </w:tc>
      </w:tr>
      <w:tr w:rsidR="00590B2F" w:rsidRPr="004544C2" w14:paraId="48691454" w14:textId="77777777">
        <w:trPr>
          <w:trHeight w:val="283"/>
        </w:trPr>
        <w:tc>
          <w:tcPr>
            <w:tcW w:w="1558" w:type="dxa"/>
            <w:tcBorders>
              <w:top w:val="single" w:sz="4" w:space="0" w:color="000000"/>
            </w:tcBorders>
            <w:vAlign w:val="center"/>
          </w:tcPr>
          <w:p w14:paraId="06DF3293" w14:textId="697518EB" w:rsidR="00590B2F" w:rsidRPr="004544C2" w:rsidRDefault="00590B2F">
            <w:pPr>
              <w:widowControl w:val="0"/>
              <w:spacing w:line="276" w:lineRule="auto"/>
              <w:jc w:val="center"/>
              <w:rPr>
                <w:b/>
                <w:color w:val="000000" w:themeColor="text1"/>
                <w:sz w:val="16"/>
                <w:szCs w:val="16"/>
              </w:rPr>
            </w:pPr>
            <w:r>
              <w:rPr>
                <w:b/>
                <w:color w:val="000000" w:themeColor="text1"/>
                <w:sz w:val="16"/>
                <w:szCs w:val="16"/>
              </w:rPr>
              <w:t>Revisó</w:t>
            </w:r>
          </w:p>
        </w:tc>
        <w:tc>
          <w:tcPr>
            <w:tcW w:w="3974" w:type="dxa"/>
            <w:vAlign w:val="center"/>
          </w:tcPr>
          <w:p w14:paraId="3BA3EDDF" w14:textId="7ADC88A3" w:rsidR="00590B2F" w:rsidRPr="004544C2" w:rsidRDefault="00590B2F">
            <w:pPr>
              <w:jc w:val="center"/>
              <w:rPr>
                <w:color w:val="000000" w:themeColor="text1"/>
                <w:sz w:val="16"/>
                <w:szCs w:val="16"/>
              </w:rPr>
            </w:pPr>
            <w:r w:rsidRPr="004544C2">
              <w:rPr>
                <w:color w:val="000000" w:themeColor="text1"/>
                <w:sz w:val="16"/>
                <w:szCs w:val="16"/>
              </w:rPr>
              <w:t>Hugo Alejandro Palacios</w:t>
            </w:r>
          </w:p>
        </w:tc>
        <w:tc>
          <w:tcPr>
            <w:tcW w:w="2764" w:type="dxa"/>
            <w:vAlign w:val="center"/>
          </w:tcPr>
          <w:p w14:paraId="1AE94DE5" w14:textId="77777777" w:rsidR="00590B2F" w:rsidRPr="004544C2" w:rsidRDefault="00590B2F">
            <w:pPr>
              <w:jc w:val="center"/>
              <w:rPr>
                <w:color w:val="000000" w:themeColor="text1"/>
                <w:sz w:val="16"/>
                <w:szCs w:val="16"/>
              </w:rPr>
            </w:pPr>
          </w:p>
        </w:tc>
        <w:tc>
          <w:tcPr>
            <w:tcW w:w="2768" w:type="dxa"/>
            <w:vAlign w:val="center"/>
          </w:tcPr>
          <w:p w14:paraId="035E016B" w14:textId="2B99A2E1" w:rsidR="00590B2F" w:rsidRPr="004544C2" w:rsidRDefault="00590B2F">
            <w:pPr>
              <w:widowControl w:val="0"/>
              <w:spacing w:line="276" w:lineRule="auto"/>
              <w:jc w:val="center"/>
              <w:rPr>
                <w:color w:val="000000" w:themeColor="text1"/>
                <w:sz w:val="16"/>
                <w:szCs w:val="16"/>
              </w:rPr>
            </w:pPr>
            <w:r w:rsidRPr="004544C2">
              <w:rPr>
                <w:color w:val="000000" w:themeColor="text1"/>
                <w:sz w:val="16"/>
                <w:szCs w:val="16"/>
              </w:rPr>
              <w:t>Abogado externo Despacho.</w:t>
            </w:r>
          </w:p>
        </w:tc>
      </w:tr>
      <w:tr w:rsidR="008F4A7F" w:rsidRPr="004544C2" w14:paraId="1CC2041D" w14:textId="77777777">
        <w:trPr>
          <w:trHeight w:val="536"/>
        </w:trPr>
        <w:tc>
          <w:tcPr>
            <w:tcW w:w="11064" w:type="dxa"/>
            <w:gridSpan w:val="4"/>
            <w:vAlign w:val="center"/>
          </w:tcPr>
          <w:p w14:paraId="0A9F4FB8" w14:textId="77777777" w:rsidR="00C52327" w:rsidRPr="004544C2" w:rsidRDefault="00202AD7">
            <w:pPr>
              <w:jc w:val="center"/>
              <w:rPr>
                <w:color w:val="000000" w:themeColor="text1"/>
                <w:sz w:val="16"/>
                <w:szCs w:val="16"/>
              </w:rPr>
            </w:pPr>
            <w:r w:rsidRPr="004544C2">
              <w:rPr>
                <w:color w:val="000000" w:themeColor="text1"/>
                <w:sz w:val="16"/>
                <w:szCs w:val="16"/>
              </w:rPr>
              <w:t>Los firmantes, manifestamos expresamente que hemos estudiado y revisado el presente acto administrativo, y por encontrarlo ajustado a las disposiciones constitucionales, legales y reglamentarias vigentes, lo presentamos para su firma bajo nuestra responsabilidad.</w:t>
            </w:r>
          </w:p>
        </w:tc>
      </w:tr>
    </w:tbl>
    <w:p w14:paraId="159B3423" w14:textId="77777777" w:rsidR="00C52327" w:rsidRPr="008F4A7F" w:rsidRDefault="00C52327" w:rsidP="004544C2">
      <w:pPr>
        <w:tabs>
          <w:tab w:val="left" w:pos="1966"/>
          <w:tab w:val="right" w:pos="8786"/>
        </w:tabs>
        <w:rPr>
          <w:i/>
          <w:color w:val="000000" w:themeColor="text1"/>
          <w:sz w:val="22"/>
          <w:szCs w:val="22"/>
        </w:rPr>
      </w:pPr>
    </w:p>
    <w:sectPr w:rsidR="00C52327" w:rsidRPr="008F4A7F" w:rsidSect="00E1419A">
      <w:headerReference w:type="even" r:id="rId8"/>
      <w:headerReference w:type="default" r:id="rId9"/>
      <w:footerReference w:type="default" r:id="rId10"/>
      <w:headerReference w:type="first" r:id="rId11"/>
      <w:pgSz w:w="12240" w:h="20160" w:code="5"/>
      <w:pgMar w:top="1417" w:right="1701" w:bottom="3118" w:left="1701" w:header="708" w:footer="1134"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E5E538" w14:textId="77777777" w:rsidR="00A3271D" w:rsidRDefault="00A3271D">
      <w:r>
        <w:separator/>
      </w:r>
    </w:p>
  </w:endnote>
  <w:endnote w:type="continuationSeparator" w:id="0">
    <w:p w14:paraId="6AC7F8CC" w14:textId="77777777" w:rsidR="00A3271D" w:rsidRDefault="00A32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9998F" w14:textId="77777777" w:rsidR="00C52327" w:rsidRDefault="00202AD7">
    <w:pPr>
      <w:pBdr>
        <w:top w:val="nil"/>
        <w:left w:val="nil"/>
        <w:bottom w:val="nil"/>
        <w:right w:val="nil"/>
        <w:between w:val="nil"/>
      </w:pBdr>
      <w:tabs>
        <w:tab w:val="center" w:pos="4419"/>
        <w:tab w:val="right" w:pos="8838"/>
      </w:tabs>
      <w:ind w:left="-1701"/>
      <w:rPr>
        <w:color w:val="000000"/>
      </w:rPr>
    </w:pPr>
    <w:r>
      <w:rPr>
        <w:noProof/>
        <w:color w:val="000000"/>
      </w:rPr>
      <w:drawing>
        <wp:inline distT="0" distB="0" distL="0" distR="0" wp14:anchorId="23AC903A" wp14:editId="293B3F2C">
          <wp:extent cx="7902300" cy="1110453"/>
          <wp:effectExtent l="0" t="0" r="0" b="0"/>
          <wp:docPr id="134097249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l="2409" r="-2409"/>
                  <a:stretch>
                    <a:fillRect/>
                  </a:stretch>
                </pic:blipFill>
                <pic:spPr>
                  <a:xfrm>
                    <a:off x="0" y="0"/>
                    <a:ext cx="7902300" cy="1110453"/>
                  </a:xfrm>
                  <a:prstGeom prst="rect">
                    <a:avLst/>
                  </a:prstGeom>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E312A" w14:textId="77777777" w:rsidR="00A3271D" w:rsidRDefault="00A3271D">
      <w:r>
        <w:separator/>
      </w:r>
    </w:p>
  </w:footnote>
  <w:footnote w:type="continuationSeparator" w:id="0">
    <w:p w14:paraId="0BA1D9DB" w14:textId="77777777" w:rsidR="00A3271D" w:rsidRDefault="00A3271D">
      <w:r>
        <w:continuationSeparator/>
      </w:r>
    </w:p>
  </w:footnote>
  <w:footnote w:id="1">
    <w:p w14:paraId="104853BC" w14:textId="77777777" w:rsidR="001E1C2A" w:rsidRPr="007D340E" w:rsidRDefault="001E1C2A" w:rsidP="001E1C2A">
      <w:pPr>
        <w:rPr>
          <w:sz w:val="16"/>
          <w:szCs w:val="16"/>
        </w:rPr>
      </w:pPr>
      <w:r w:rsidRPr="007D340E">
        <w:rPr>
          <w:rStyle w:val="Refdenotaalpie"/>
          <w:sz w:val="16"/>
          <w:szCs w:val="16"/>
        </w:rPr>
        <w:footnoteRef/>
      </w:r>
      <w:r w:rsidRPr="007D340E">
        <w:rPr>
          <w:sz w:val="16"/>
          <w:szCs w:val="16"/>
        </w:rPr>
        <w:t xml:space="preserve"> </w:t>
      </w:r>
      <w:r w:rsidRPr="007D340E">
        <w:rPr>
          <w:color w:val="2D2D2D"/>
          <w:sz w:val="16"/>
          <w:szCs w:val="16"/>
          <w:shd w:val="clear" w:color="auto" w:fill="FFFFFF"/>
        </w:rPr>
        <w:t>M.P. Luis Ernesto Vargas Silva</w:t>
      </w:r>
    </w:p>
    <w:p w14:paraId="41C11ADB" w14:textId="77777777" w:rsidR="001E1C2A" w:rsidRPr="007D340E" w:rsidRDefault="001E1C2A" w:rsidP="001E1C2A">
      <w:pPr>
        <w:pStyle w:val="Textonotapie"/>
        <w:rPr>
          <w:lang w:val="es-CO"/>
        </w:rPr>
      </w:pPr>
    </w:p>
  </w:footnote>
  <w:footnote w:id="2">
    <w:p w14:paraId="283008F2" w14:textId="65E28D31" w:rsidR="001E1C2A" w:rsidRPr="007D340E" w:rsidRDefault="001E1C2A" w:rsidP="001E1C2A">
      <w:pPr>
        <w:jc w:val="both"/>
        <w:rPr>
          <w:rFonts w:asciiTheme="minorHAnsi" w:hAnsiTheme="minorHAnsi" w:cstheme="minorHAnsi"/>
          <w:color w:val="000000" w:themeColor="text1"/>
          <w:sz w:val="16"/>
          <w:szCs w:val="16"/>
        </w:rPr>
      </w:pPr>
      <w:r>
        <w:rPr>
          <w:rStyle w:val="Refdenotaalpie"/>
        </w:rPr>
        <w:footnoteRef/>
      </w:r>
      <w:r>
        <w:t xml:space="preserve"> </w:t>
      </w:r>
      <w:r w:rsidRPr="007D340E">
        <w:rPr>
          <w:rFonts w:asciiTheme="minorHAnsi" w:hAnsiTheme="minorHAnsi" w:cstheme="minorHAnsi"/>
          <w:color w:val="000000" w:themeColor="text1"/>
          <w:sz w:val="16"/>
          <w:szCs w:val="16"/>
          <w:shd w:val="clear" w:color="auto" w:fill="FFFFFF"/>
        </w:rPr>
        <w:t xml:space="preserve">Sentencia C-881 de 2012 (M.P. Luis Ernesto Vargas Silva). En esa ocasión la Sala Plena declaró exequible por el cargo de omisión legislativa relativa, la expresión “El juez que conozca de la preclusión quedará impedido para conocer del juicio” contenida en el inciso segundo </w:t>
      </w:r>
      <w:r w:rsidR="004C60DC" w:rsidRPr="007D340E">
        <w:rPr>
          <w:rFonts w:asciiTheme="minorHAnsi" w:hAnsiTheme="minorHAnsi" w:cstheme="minorHAnsi"/>
          <w:color w:val="000000" w:themeColor="text1"/>
          <w:sz w:val="16"/>
          <w:szCs w:val="16"/>
          <w:shd w:val="clear" w:color="auto" w:fill="FFFFFF"/>
        </w:rPr>
        <w:t>del artículo</w:t>
      </w:r>
      <w:r w:rsidRPr="007D340E">
        <w:rPr>
          <w:rFonts w:asciiTheme="minorHAnsi" w:hAnsiTheme="minorHAnsi" w:cstheme="minorHAnsi"/>
          <w:color w:val="000000" w:themeColor="text1"/>
          <w:sz w:val="16"/>
          <w:szCs w:val="16"/>
          <w:shd w:val="clear" w:color="auto" w:fill="FFFFFF"/>
        </w:rPr>
        <w:t xml:space="preserve"> 335 de la Ley 906 de 2004, en un juicio en que el actor peticionaba que el impedimento que la norma prevé para el juez que niega la solicitud de preclusión, se hiciera extensivo al fiscal que formuló la fallida solicitud.</w:t>
      </w:r>
    </w:p>
    <w:p w14:paraId="55D3E708" w14:textId="77777777" w:rsidR="001E1C2A" w:rsidRPr="007D340E" w:rsidRDefault="001E1C2A" w:rsidP="001E1C2A">
      <w:pPr>
        <w:pStyle w:val="Textonotapie"/>
        <w:rPr>
          <w:rFonts w:asciiTheme="minorHAnsi" w:hAnsiTheme="minorHAnsi" w:cstheme="minorHAnsi"/>
          <w:color w:val="000000" w:themeColor="text1"/>
          <w:sz w:val="16"/>
          <w:szCs w:val="16"/>
          <w:lang w:val="es-CO"/>
        </w:rPr>
      </w:pPr>
    </w:p>
  </w:footnote>
  <w:footnote w:id="3">
    <w:p w14:paraId="3E353606" w14:textId="77777777" w:rsidR="007C1277" w:rsidRDefault="007C1277" w:rsidP="007C1277">
      <w:pPr>
        <w:pStyle w:val="Textonotapie"/>
        <w:jc w:val="both"/>
      </w:pPr>
      <w:r w:rsidRPr="000348FE">
        <w:rPr>
          <w:rStyle w:val="Refdenotaalpie"/>
          <w:rFonts w:asciiTheme="minorHAnsi" w:hAnsiTheme="minorHAnsi" w:cstheme="minorHAnsi"/>
          <w:sz w:val="16"/>
          <w:szCs w:val="16"/>
        </w:rPr>
        <w:footnoteRef/>
      </w:r>
      <w:r w:rsidRPr="000348FE">
        <w:rPr>
          <w:rFonts w:asciiTheme="minorHAnsi" w:hAnsiTheme="minorHAnsi" w:cstheme="minorHAnsi"/>
          <w:sz w:val="16"/>
          <w:szCs w:val="16"/>
        </w:rPr>
        <w:t xml:space="preserve"> </w:t>
      </w:r>
      <w:r w:rsidRPr="000348FE">
        <w:rPr>
          <w:rFonts w:asciiTheme="minorHAnsi" w:hAnsiTheme="minorHAnsi" w:cstheme="minorHAnsi"/>
          <w:color w:val="000000" w:themeColor="text1"/>
          <w:sz w:val="16"/>
          <w:szCs w:val="16"/>
          <w:lang w:eastAsia="es-MX"/>
        </w:rPr>
        <w:t>CONSEJO DE ESTADO, SALA PLENA DE LO CONTENCIOSO ADMINISTRATIVO. Radicado 11001-03-25-000-2005-00012-01. C. P.: Víctor Hernando Alvarado Ardila.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0C87" w14:textId="77777777" w:rsidR="00C52327" w:rsidRDefault="00A3271D">
    <w:pPr>
      <w:pBdr>
        <w:top w:val="nil"/>
        <w:left w:val="nil"/>
        <w:bottom w:val="nil"/>
        <w:right w:val="nil"/>
        <w:between w:val="nil"/>
      </w:pBdr>
      <w:tabs>
        <w:tab w:val="center" w:pos="4419"/>
        <w:tab w:val="right" w:pos="8838"/>
      </w:tabs>
      <w:rPr>
        <w:color w:val="000000"/>
      </w:rPr>
    </w:pPr>
    <w:r>
      <w:rPr>
        <w:color w:val="000000"/>
      </w:rPr>
      <w:pict w14:anchorId="165B72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7" type="#_x0000_t75" alt="" style="position:absolute;margin-left:0;margin-top:0;width:638.25pt;height:350.5pt;z-index:-251657728;mso-wrap-edited:f;mso-width-percent:0;mso-height-percent:0;mso-position-horizontal:center;mso-position-horizontal-relative:margin;mso-position-vertical:center;mso-position-vertical-relative:margin;mso-width-percent:0;mso-height-percent:0">
          <v:imagedata r:id="rId1" o:title="image3"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F8F6C" w14:textId="77777777" w:rsidR="00C52327" w:rsidRDefault="00C52327">
    <w:pPr>
      <w:tabs>
        <w:tab w:val="center" w:pos="4419"/>
        <w:tab w:val="right" w:pos="8838"/>
      </w:tabs>
      <w:ind w:left="-284"/>
      <w:rPr>
        <w:color w:val="FF0000"/>
        <w:sz w:val="16"/>
        <w:szCs w:val="16"/>
      </w:rPr>
    </w:pPr>
  </w:p>
  <w:p w14:paraId="56EDFB8C" w14:textId="77777777" w:rsidR="00C52327" w:rsidRDefault="00A3271D">
    <w:pPr>
      <w:pBdr>
        <w:top w:val="nil"/>
        <w:left w:val="nil"/>
        <w:bottom w:val="nil"/>
        <w:right w:val="nil"/>
        <w:between w:val="nil"/>
      </w:pBdr>
      <w:tabs>
        <w:tab w:val="center" w:pos="4419"/>
        <w:tab w:val="right" w:pos="8838"/>
      </w:tabs>
      <w:ind w:left="-284" w:firstLine="284"/>
      <w:rPr>
        <w:color w:val="000000"/>
      </w:rPr>
    </w:pPr>
    <w:r>
      <w:rPr>
        <w:color w:val="000000"/>
      </w:rPr>
      <w:pict w14:anchorId="7079B8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6" type="#_x0000_t75" alt="" style="position:absolute;left:0;text-align:left;margin-left:0;margin-top:0;width:638.25pt;height:350.5pt;z-index:-251659776;mso-wrap-edited:f;mso-width-percent:0;mso-height-percent:0;mso-position-horizontal:center;mso-position-horizontal-relative:margin;mso-position-vertical:center;mso-position-vertical-relative:margin;mso-width-percent:0;mso-height-percent:0">
          <v:imagedata r:id="rId1" o:title="image3" gain="19661f" blacklevel="22938f"/>
          <w10:wrap anchorx="margin" anchory="margin"/>
        </v:shape>
      </w:pict>
    </w:r>
    <w:r w:rsidR="00202AD7">
      <w:rPr>
        <w:noProof/>
        <w:color w:val="000000"/>
      </w:rPr>
      <w:drawing>
        <wp:inline distT="0" distB="0" distL="0" distR="0" wp14:anchorId="6A4702C5" wp14:editId="41423308">
          <wp:extent cx="6745315" cy="727435"/>
          <wp:effectExtent l="0" t="0" r="0" b="0"/>
          <wp:docPr id="82430381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
                  <a:srcRect/>
                  <a:stretch>
                    <a:fillRect/>
                  </a:stretch>
                </pic:blipFill>
                <pic:spPr>
                  <a:xfrm>
                    <a:off x="0" y="0"/>
                    <a:ext cx="6745315" cy="727435"/>
                  </a:xfrm>
                  <a:prstGeom prst="rect">
                    <a:avLst/>
                  </a:prstGeom>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4F2A0" w14:textId="77777777" w:rsidR="00C52327" w:rsidRDefault="00A3271D">
    <w:pPr>
      <w:pBdr>
        <w:top w:val="nil"/>
        <w:left w:val="nil"/>
        <w:bottom w:val="nil"/>
        <w:right w:val="nil"/>
        <w:between w:val="nil"/>
      </w:pBdr>
      <w:tabs>
        <w:tab w:val="center" w:pos="4419"/>
        <w:tab w:val="right" w:pos="8838"/>
      </w:tabs>
      <w:rPr>
        <w:color w:val="000000"/>
      </w:rPr>
    </w:pPr>
    <w:r>
      <w:rPr>
        <w:color w:val="000000"/>
      </w:rPr>
      <w:pict w14:anchorId="2C36D8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5" type="#_x0000_t75" alt="" style="position:absolute;margin-left:0;margin-top:0;width:638.25pt;height:350.5pt;z-index:-251658752;mso-wrap-edited:f;mso-width-percent:0;mso-height-percent:0;mso-position-horizontal:center;mso-position-horizontal-relative:margin;mso-position-vertical:center;mso-position-vertical-relative:margin;mso-width-percent:0;mso-height-percent:0">
          <v:imagedata r:id="rId1" o:title="image3"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E6DBE"/>
    <w:multiLevelType w:val="hybridMultilevel"/>
    <w:tmpl w:val="E3A27C0C"/>
    <w:lvl w:ilvl="0" w:tplc="69F0A43A">
      <w:start w:val="1"/>
      <w:numFmt w:val="decimal"/>
      <w:lvlText w:val="%1."/>
      <w:lvlJc w:val="left"/>
      <w:pPr>
        <w:ind w:left="927" w:hanging="36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1" w15:restartNumberingAfterBreak="0">
    <w:nsid w:val="1D684F47"/>
    <w:multiLevelType w:val="hybridMultilevel"/>
    <w:tmpl w:val="A678C23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2E8F5D24"/>
    <w:multiLevelType w:val="hybridMultilevel"/>
    <w:tmpl w:val="A33015BC"/>
    <w:lvl w:ilvl="0" w:tplc="8AB01024">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F226CD0"/>
    <w:multiLevelType w:val="hybridMultilevel"/>
    <w:tmpl w:val="93884490"/>
    <w:lvl w:ilvl="0" w:tplc="06B22BD2">
      <w:start w:val="1"/>
      <w:numFmt w:val="decimal"/>
      <w:lvlText w:val="%1."/>
      <w:lvlJc w:val="left"/>
      <w:pPr>
        <w:ind w:left="927" w:hanging="36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4" w15:restartNumberingAfterBreak="0">
    <w:nsid w:val="418548C2"/>
    <w:multiLevelType w:val="multilevel"/>
    <w:tmpl w:val="6102F87E"/>
    <w:lvl w:ilvl="0">
      <w:start w:val="1"/>
      <w:numFmt w:val="upperRoman"/>
      <w:lvlText w:val="%1."/>
      <w:lvlJc w:val="left"/>
      <w:pPr>
        <w:ind w:left="1080" w:hanging="720"/>
      </w:pPr>
      <w:rPr>
        <w:rFonts w:hint="default"/>
      </w:rPr>
    </w:lvl>
    <w:lvl w:ilvl="1">
      <w:start w:val="4"/>
      <w:numFmt w:val="decimal"/>
      <w:isLgl/>
      <w:lvlText w:val="%1.%2."/>
      <w:lvlJc w:val="left"/>
      <w:pPr>
        <w:ind w:left="1080" w:hanging="720"/>
      </w:pPr>
      <w:rPr>
        <w:rFonts w:hint="default"/>
        <w:b/>
      </w:rPr>
    </w:lvl>
    <w:lvl w:ilvl="2">
      <w:start w:val="1"/>
      <w:numFmt w:val="decimal"/>
      <w:isLgl/>
      <w:lvlText w:val="%1.%2.%3."/>
      <w:lvlJc w:val="left"/>
      <w:pPr>
        <w:ind w:left="1440" w:hanging="108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800" w:hanging="1440"/>
      </w:pPr>
      <w:rPr>
        <w:rFonts w:hint="default"/>
        <w:b/>
      </w:rPr>
    </w:lvl>
    <w:lvl w:ilvl="5">
      <w:start w:val="1"/>
      <w:numFmt w:val="decimal"/>
      <w:isLgl/>
      <w:lvlText w:val="%1.%2.%3.%4.%5.%6."/>
      <w:lvlJc w:val="left"/>
      <w:pPr>
        <w:ind w:left="2160" w:hanging="180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520" w:hanging="2160"/>
      </w:pPr>
      <w:rPr>
        <w:rFonts w:hint="default"/>
        <w:b/>
      </w:rPr>
    </w:lvl>
    <w:lvl w:ilvl="8">
      <w:start w:val="1"/>
      <w:numFmt w:val="decimal"/>
      <w:isLgl/>
      <w:lvlText w:val="%1.%2.%3.%4.%5.%6.%7.%8.%9."/>
      <w:lvlJc w:val="left"/>
      <w:pPr>
        <w:ind w:left="2880" w:hanging="2520"/>
      </w:pPr>
      <w:rPr>
        <w:rFonts w:hint="default"/>
        <w:b/>
      </w:rPr>
    </w:lvl>
  </w:abstractNum>
  <w:abstractNum w:abstractNumId="5" w15:restartNumberingAfterBreak="0">
    <w:nsid w:val="70623CB6"/>
    <w:multiLevelType w:val="hybridMultilevel"/>
    <w:tmpl w:val="79669EB4"/>
    <w:lvl w:ilvl="0" w:tplc="9BFED36C">
      <w:numFmt w:val="bullet"/>
      <w:lvlText w:val="-"/>
      <w:lvlJc w:val="left"/>
      <w:pPr>
        <w:ind w:left="360" w:hanging="360"/>
      </w:pPr>
      <w:rPr>
        <w:rFonts w:ascii="Arial" w:eastAsia="Times New Roman" w:hAnsi="Arial" w:cs="Aria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 w15:restartNumberingAfterBreak="0">
    <w:nsid w:val="785762B3"/>
    <w:multiLevelType w:val="multilevel"/>
    <w:tmpl w:val="6102F87E"/>
    <w:lvl w:ilvl="0">
      <w:start w:val="1"/>
      <w:numFmt w:val="upperRoman"/>
      <w:lvlText w:val="%1."/>
      <w:lvlJc w:val="left"/>
      <w:pPr>
        <w:ind w:left="1080" w:hanging="720"/>
      </w:pPr>
      <w:rPr>
        <w:rFonts w:hint="default"/>
      </w:rPr>
    </w:lvl>
    <w:lvl w:ilvl="1">
      <w:start w:val="4"/>
      <w:numFmt w:val="decimal"/>
      <w:isLgl/>
      <w:lvlText w:val="%1.%2."/>
      <w:lvlJc w:val="left"/>
      <w:pPr>
        <w:ind w:left="1080" w:hanging="720"/>
      </w:pPr>
      <w:rPr>
        <w:rFonts w:hint="default"/>
        <w:b/>
      </w:rPr>
    </w:lvl>
    <w:lvl w:ilvl="2">
      <w:start w:val="1"/>
      <w:numFmt w:val="decimal"/>
      <w:isLgl/>
      <w:lvlText w:val="%1.%2.%3."/>
      <w:lvlJc w:val="left"/>
      <w:pPr>
        <w:ind w:left="1440" w:hanging="108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800" w:hanging="1440"/>
      </w:pPr>
      <w:rPr>
        <w:rFonts w:hint="default"/>
        <w:b/>
      </w:rPr>
    </w:lvl>
    <w:lvl w:ilvl="5">
      <w:start w:val="1"/>
      <w:numFmt w:val="decimal"/>
      <w:isLgl/>
      <w:lvlText w:val="%1.%2.%3.%4.%5.%6."/>
      <w:lvlJc w:val="left"/>
      <w:pPr>
        <w:ind w:left="2160" w:hanging="180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520" w:hanging="2160"/>
      </w:pPr>
      <w:rPr>
        <w:rFonts w:hint="default"/>
        <w:b/>
      </w:rPr>
    </w:lvl>
    <w:lvl w:ilvl="8">
      <w:start w:val="1"/>
      <w:numFmt w:val="decimal"/>
      <w:isLgl/>
      <w:lvlText w:val="%1.%2.%3.%4.%5.%6.%7.%8.%9."/>
      <w:lvlJc w:val="left"/>
      <w:pPr>
        <w:ind w:left="2880" w:hanging="2520"/>
      </w:pPr>
      <w:rPr>
        <w:rFonts w:hint="default"/>
        <w:b/>
      </w:rPr>
    </w:lvl>
  </w:abstractNum>
  <w:num w:numId="1" w16cid:durableId="1398019492">
    <w:abstractNumId w:val="6"/>
  </w:num>
  <w:num w:numId="2" w16cid:durableId="624967247">
    <w:abstractNumId w:val="4"/>
  </w:num>
  <w:num w:numId="3" w16cid:durableId="1112364117">
    <w:abstractNumId w:val="5"/>
  </w:num>
  <w:num w:numId="4" w16cid:durableId="734010281">
    <w:abstractNumId w:val="2"/>
  </w:num>
  <w:num w:numId="5" w16cid:durableId="959804858">
    <w:abstractNumId w:val="3"/>
  </w:num>
  <w:num w:numId="6" w16cid:durableId="685012754">
    <w:abstractNumId w:val="0"/>
  </w:num>
  <w:num w:numId="7" w16cid:durableId="14591824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327"/>
    <w:rsid w:val="000000D4"/>
    <w:rsid w:val="0002575D"/>
    <w:rsid w:val="00053757"/>
    <w:rsid w:val="00074751"/>
    <w:rsid w:val="000B2170"/>
    <w:rsid w:val="000C1000"/>
    <w:rsid w:val="000D2491"/>
    <w:rsid w:val="001011E8"/>
    <w:rsid w:val="001038CC"/>
    <w:rsid w:val="00125217"/>
    <w:rsid w:val="00134911"/>
    <w:rsid w:val="00137664"/>
    <w:rsid w:val="00166711"/>
    <w:rsid w:val="001952EE"/>
    <w:rsid w:val="001B31AB"/>
    <w:rsid w:val="001D06C9"/>
    <w:rsid w:val="001E0FF7"/>
    <w:rsid w:val="001E1C2A"/>
    <w:rsid w:val="001E583A"/>
    <w:rsid w:val="00202AD7"/>
    <w:rsid w:val="00211B5D"/>
    <w:rsid w:val="002217EE"/>
    <w:rsid w:val="00240F40"/>
    <w:rsid w:val="00254E47"/>
    <w:rsid w:val="002A5AFE"/>
    <w:rsid w:val="002D2E63"/>
    <w:rsid w:val="002F2D73"/>
    <w:rsid w:val="0031412F"/>
    <w:rsid w:val="00346CF1"/>
    <w:rsid w:val="00360DC8"/>
    <w:rsid w:val="00390D3C"/>
    <w:rsid w:val="003A3BE4"/>
    <w:rsid w:val="003C7FAA"/>
    <w:rsid w:val="0041587E"/>
    <w:rsid w:val="00433002"/>
    <w:rsid w:val="004544C2"/>
    <w:rsid w:val="0045758D"/>
    <w:rsid w:val="00463A40"/>
    <w:rsid w:val="00465D0A"/>
    <w:rsid w:val="004750B6"/>
    <w:rsid w:val="004812F7"/>
    <w:rsid w:val="004817E3"/>
    <w:rsid w:val="0048419B"/>
    <w:rsid w:val="004A1135"/>
    <w:rsid w:val="004A3C5E"/>
    <w:rsid w:val="004C60DC"/>
    <w:rsid w:val="004D799E"/>
    <w:rsid w:val="004E1D74"/>
    <w:rsid w:val="004E275F"/>
    <w:rsid w:val="004F51C1"/>
    <w:rsid w:val="00561C11"/>
    <w:rsid w:val="00590B2F"/>
    <w:rsid w:val="005F1B77"/>
    <w:rsid w:val="00600AF7"/>
    <w:rsid w:val="006160E4"/>
    <w:rsid w:val="00617ABB"/>
    <w:rsid w:val="00636431"/>
    <w:rsid w:val="006F34F9"/>
    <w:rsid w:val="00744604"/>
    <w:rsid w:val="00746EC3"/>
    <w:rsid w:val="00757B3B"/>
    <w:rsid w:val="0076513D"/>
    <w:rsid w:val="007A4FF9"/>
    <w:rsid w:val="007B06E1"/>
    <w:rsid w:val="007B2A85"/>
    <w:rsid w:val="007C1277"/>
    <w:rsid w:val="007C45F2"/>
    <w:rsid w:val="007F0A25"/>
    <w:rsid w:val="007F10C4"/>
    <w:rsid w:val="00804691"/>
    <w:rsid w:val="00806A1D"/>
    <w:rsid w:val="00850518"/>
    <w:rsid w:val="00856CD4"/>
    <w:rsid w:val="00884808"/>
    <w:rsid w:val="0089248A"/>
    <w:rsid w:val="008A363B"/>
    <w:rsid w:val="008B2EC4"/>
    <w:rsid w:val="008F4A7F"/>
    <w:rsid w:val="00917A67"/>
    <w:rsid w:val="009517A0"/>
    <w:rsid w:val="009879B6"/>
    <w:rsid w:val="00997C9E"/>
    <w:rsid w:val="009B0E19"/>
    <w:rsid w:val="009E3A8B"/>
    <w:rsid w:val="009F279D"/>
    <w:rsid w:val="00A05B05"/>
    <w:rsid w:val="00A3271D"/>
    <w:rsid w:val="00A3571A"/>
    <w:rsid w:val="00A36F04"/>
    <w:rsid w:val="00A37E7A"/>
    <w:rsid w:val="00A476E1"/>
    <w:rsid w:val="00AA2214"/>
    <w:rsid w:val="00AD0E0E"/>
    <w:rsid w:val="00AE1BE9"/>
    <w:rsid w:val="00AF039E"/>
    <w:rsid w:val="00B033EA"/>
    <w:rsid w:val="00B078FD"/>
    <w:rsid w:val="00B63602"/>
    <w:rsid w:val="00B720FD"/>
    <w:rsid w:val="00B723BF"/>
    <w:rsid w:val="00B750F3"/>
    <w:rsid w:val="00B85168"/>
    <w:rsid w:val="00BA0595"/>
    <w:rsid w:val="00BA1D7D"/>
    <w:rsid w:val="00BB768B"/>
    <w:rsid w:val="00BD7149"/>
    <w:rsid w:val="00BD723F"/>
    <w:rsid w:val="00C01EFE"/>
    <w:rsid w:val="00C06119"/>
    <w:rsid w:val="00C10514"/>
    <w:rsid w:val="00C52327"/>
    <w:rsid w:val="00C5375F"/>
    <w:rsid w:val="00C67A0E"/>
    <w:rsid w:val="00C95621"/>
    <w:rsid w:val="00CA49E0"/>
    <w:rsid w:val="00CA7269"/>
    <w:rsid w:val="00CC6CD1"/>
    <w:rsid w:val="00CD0AE3"/>
    <w:rsid w:val="00D03E53"/>
    <w:rsid w:val="00D1250A"/>
    <w:rsid w:val="00D2773B"/>
    <w:rsid w:val="00D523B7"/>
    <w:rsid w:val="00D63953"/>
    <w:rsid w:val="00D75C3E"/>
    <w:rsid w:val="00D8360C"/>
    <w:rsid w:val="00DA4782"/>
    <w:rsid w:val="00DD13CF"/>
    <w:rsid w:val="00E00EB3"/>
    <w:rsid w:val="00E01E6D"/>
    <w:rsid w:val="00E1419A"/>
    <w:rsid w:val="00E22FAA"/>
    <w:rsid w:val="00E238C6"/>
    <w:rsid w:val="00E245FA"/>
    <w:rsid w:val="00E324F1"/>
    <w:rsid w:val="00E80244"/>
    <w:rsid w:val="00E96412"/>
    <w:rsid w:val="00EC2B54"/>
    <w:rsid w:val="00EC7C8E"/>
    <w:rsid w:val="00F16C09"/>
    <w:rsid w:val="00F532A2"/>
    <w:rsid w:val="00FF77D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833C5D"/>
  <w15:docId w15:val="{DFAD2DC8-EF4F-40C2-AC3F-F66B9EB35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paragraph" w:styleId="Prrafodelista">
    <w:name w:val="List Paragraph"/>
    <w:basedOn w:val="Normal"/>
    <w:uiPriority w:val="34"/>
    <w:qFormat/>
    <w:rsid w:val="00B078FD"/>
    <w:pPr>
      <w:ind w:left="720"/>
      <w:contextualSpacing/>
      <w:jc w:val="both"/>
    </w:pPr>
    <w:rPr>
      <w:rFonts w:cs="Times New Roman"/>
      <w:sz w:val="22"/>
      <w:szCs w:val="22"/>
      <w:lang w:eastAsia="en-US"/>
    </w:rPr>
  </w:style>
  <w:style w:type="paragraph" w:styleId="Piedepgina">
    <w:name w:val="footer"/>
    <w:basedOn w:val="Normal"/>
    <w:link w:val="PiedepginaCar"/>
    <w:uiPriority w:val="99"/>
    <w:unhideWhenUsed/>
    <w:rsid w:val="00D523B7"/>
    <w:pPr>
      <w:tabs>
        <w:tab w:val="center" w:pos="4419"/>
        <w:tab w:val="right" w:pos="8838"/>
      </w:tabs>
    </w:pPr>
  </w:style>
  <w:style w:type="character" w:customStyle="1" w:styleId="PiedepginaCar">
    <w:name w:val="Pie de página Car"/>
    <w:basedOn w:val="Fuentedeprrafopredeter"/>
    <w:link w:val="Piedepgina"/>
    <w:uiPriority w:val="99"/>
    <w:rsid w:val="00D523B7"/>
  </w:style>
  <w:style w:type="character" w:styleId="Hipervnculo">
    <w:name w:val="Hyperlink"/>
    <w:basedOn w:val="Fuentedeprrafopredeter"/>
    <w:uiPriority w:val="99"/>
    <w:unhideWhenUsed/>
    <w:rsid w:val="00D03E53"/>
    <w:rPr>
      <w:color w:val="0000FF" w:themeColor="hyperlink"/>
      <w:u w:val="single"/>
    </w:rPr>
  </w:style>
  <w:style w:type="character" w:styleId="Mencinsinresolver">
    <w:name w:val="Unresolved Mention"/>
    <w:basedOn w:val="Fuentedeprrafopredeter"/>
    <w:uiPriority w:val="99"/>
    <w:semiHidden/>
    <w:unhideWhenUsed/>
    <w:rsid w:val="00D03E53"/>
    <w:rPr>
      <w:color w:val="605E5C"/>
      <w:shd w:val="clear" w:color="auto" w:fill="E1DFDD"/>
    </w:rPr>
  </w:style>
  <w:style w:type="character" w:styleId="Hipervnculovisitado">
    <w:name w:val="FollowedHyperlink"/>
    <w:basedOn w:val="Fuentedeprrafopredeter"/>
    <w:uiPriority w:val="99"/>
    <w:semiHidden/>
    <w:unhideWhenUsed/>
    <w:rsid w:val="008B2EC4"/>
    <w:rPr>
      <w:color w:val="800080" w:themeColor="followedHyperlink"/>
      <w:u w:val="single"/>
    </w:rPr>
  </w:style>
  <w:style w:type="paragraph" w:styleId="Textonotapie">
    <w:name w:val="footnote text"/>
    <w:aliases w:val="Footnote Text Char Char Char Char Char,Footnote Text Char Char Char Char,Footnote reference,FA Fu,Footnote Text Char Char Char,Texto nota pie Car Car,Footnote Text Char Char Char Char Char Car,FA Fu C,Footnote Text Char,Car"/>
    <w:basedOn w:val="Normal"/>
    <w:link w:val="TextonotapieCar"/>
    <w:uiPriority w:val="99"/>
    <w:unhideWhenUsed/>
    <w:qFormat/>
    <w:rsid w:val="001E1C2A"/>
    <w:rPr>
      <w:rFonts w:ascii="Times New Roman" w:eastAsia="Times New Roman" w:hAnsi="Times New Roman" w:cs="Times New Roman"/>
      <w:sz w:val="20"/>
      <w:szCs w:val="20"/>
      <w:lang w:val="es-ES" w:eastAsia="es-ES"/>
    </w:rPr>
  </w:style>
  <w:style w:type="character" w:customStyle="1" w:styleId="TextonotapieCar">
    <w:name w:val="Texto nota pie Car"/>
    <w:aliases w:val="Footnote Text Char Char Char Char Char Car1,Footnote Text Char Char Char Char Car,Footnote reference Car,FA Fu Car,Footnote Text Char Char Char Car,Texto nota pie Car Car Car,Footnote Text Char Char Char Char Char Car Car,FA Fu C Car"/>
    <w:basedOn w:val="Fuentedeprrafopredeter"/>
    <w:link w:val="Textonotapie"/>
    <w:uiPriority w:val="99"/>
    <w:rsid w:val="001E1C2A"/>
    <w:rPr>
      <w:rFonts w:ascii="Times New Roman" w:eastAsia="Times New Roman" w:hAnsi="Times New Roman" w:cs="Times New Roman"/>
      <w:sz w:val="20"/>
      <w:szCs w:val="20"/>
      <w:lang w:val="es-ES" w:eastAsia="es-ES"/>
    </w:rPr>
  </w:style>
  <w:style w:type="character" w:styleId="Refdenotaalpie">
    <w:name w:val="footnote reference"/>
    <w:aliases w:val="Texto de nota al pie,referencia nota al pie,Appel note de bas de page,Footnotes refss,Footnote number,BVI fnr,f,texto de nota al pie Car Car Car2,Ref. de nota al pie 2,Texto de nota al p,Pie de P_gin,Pie de P_g,Pie de Pögin,FC,F,Ref"/>
    <w:basedOn w:val="Fuentedeprrafopredeter"/>
    <w:link w:val="Char2"/>
    <w:uiPriority w:val="99"/>
    <w:unhideWhenUsed/>
    <w:qFormat/>
    <w:rsid w:val="001E1C2A"/>
    <w:rPr>
      <w:vertAlign w:val="superscript"/>
    </w:rPr>
  </w:style>
  <w:style w:type="paragraph" w:customStyle="1" w:styleId="Char2">
    <w:name w:val="Char2"/>
    <w:basedOn w:val="Normal"/>
    <w:link w:val="Refdenotaalpie"/>
    <w:uiPriority w:val="99"/>
    <w:rsid w:val="001E1C2A"/>
    <w:pPr>
      <w:pBdr>
        <w:top w:val="nil"/>
        <w:left w:val="nil"/>
        <w:bottom w:val="nil"/>
        <w:right w:val="nil"/>
        <w:between w:val="nil"/>
      </w:pBdr>
      <w:spacing w:after="160" w:line="240" w:lineRule="exact"/>
    </w:pPr>
    <w:rPr>
      <w:vertAlign w:val="superscript"/>
    </w:rPr>
  </w:style>
  <w:style w:type="paragraph" w:customStyle="1" w:styleId="p1">
    <w:name w:val="p1"/>
    <w:basedOn w:val="Normal"/>
    <w:rsid w:val="00125217"/>
    <w:rPr>
      <w:rFonts w:ascii="Arial" w:eastAsia="Times New Roman" w:hAnsi="Arial" w:cs="Arial"/>
      <w:color w:val="000000"/>
      <w:sz w:val="17"/>
      <w:szCs w:val="17"/>
      <w:lang w:eastAsia="es-MX"/>
    </w:rPr>
  </w:style>
  <w:style w:type="paragraph" w:customStyle="1" w:styleId="p2">
    <w:name w:val="p2"/>
    <w:basedOn w:val="Normal"/>
    <w:rsid w:val="00125217"/>
    <w:rPr>
      <w:rFonts w:ascii="Arial" w:eastAsia="Times New Roman" w:hAnsi="Arial" w:cs="Arial"/>
      <w:color w:val="262626"/>
      <w:sz w:val="17"/>
      <w:szCs w:val="17"/>
      <w:lang w:eastAsia="es-MX"/>
    </w:rPr>
  </w:style>
  <w:style w:type="paragraph" w:styleId="NormalWeb">
    <w:name w:val="Normal (Web)"/>
    <w:basedOn w:val="Normal"/>
    <w:uiPriority w:val="99"/>
    <w:unhideWhenUsed/>
    <w:rsid w:val="002A5AFE"/>
    <w:pPr>
      <w:spacing w:before="100" w:beforeAutospacing="1" w:after="100" w:afterAutospacing="1"/>
    </w:pPr>
    <w:rPr>
      <w:rFonts w:ascii="Times New Roman" w:eastAsia="Times New Roman" w:hAnsi="Times New Roman" w:cs="Times New Roman"/>
      <w:lang w:val="es-419" w:eastAsia="es-419"/>
    </w:rPr>
  </w:style>
  <w:style w:type="character" w:customStyle="1" w:styleId="whitespace-normal">
    <w:name w:val="whitespace-normal"/>
    <w:basedOn w:val="Fuentedeprrafopredeter"/>
    <w:rsid w:val="002A5AFE"/>
  </w:style>
  <w:style w:type="paragraph" w:styleId="Revisin">
    <w:name w:val="Revision"/>
    <w:hidden/>
    <w:uiPriority w:val="99"/>
    <w:semiHidden/>
    <w:rsid w:val="001349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912059">
      <w:bodyDiv w:val="1"/>
      <w:marLeft w:val="0"/>
      <w:marRight w:val="0"/>
      <w:marTop w:val="0"/>
      <w:marBottom w:val="0"/>
      <w:divBdr>
        <w:top w:val="none" w:sz="0" w:space="0" w:color="auto"/>
        <w:left w:val="none" w:sz="0" w:space="0" w:color="auto"/>
        <w:bottom w:val="none" w:sz="0" w:space="0" w:color="auto"/>
        <w:right w:val="none" w:sz="0" w:space="0" w:color="auto"/>
      </w:divBdr>
    </w:div>
    <w:div w:id="243029413">
      <w:bodyDiv w:val="1"/>
      <w:marLeft w:val="0"/>
      <w:marRight w:val="0"/>
      <w:marTop w:val="0"/>
      <w:marBottom w:val="0"/>
      <w:divBdr>
        <w:top w:val="none" w:sz="0" w:space="0" w:color="auto"/>
        <w:left w:val="none" w:sz="0" w:space="0" w:color="auto"/>
        <w:bottom w:val="none" w:sz="0" w:space="0" w:color="auto"/>
        <w:right w:val="none" w:sz="0" w:space="0" w:color="auto"/>
      </w:divBdr>
    </w:div>
    <w:div w:id="397899980">
      <w:bodyDiv w:val="1"/>
      <w:marLeft w:val="0"/>
      <w:marRight w:val="0"/>
      <w:marTop w:val="0"/>
      <w:marBottom w:val="0"/>
      <w:divBdr>
        <w:top w:val="none" w:sz="0" w:space="0" w:color="auto"/>
        <w:left w:val="none" w:sz="0" w:space="0" w:color="auto"/>
        <w:bottom w:val="none" w:sz="0" w:space="0" w:color="auto"/>
        <w:right w:val="none" w:sz="0" w:space="0" w:color="auto"/>
      </w:divBdr>
    </w:div>
    <w:div w:id="1269898539">
      <w:bodyDiv w:val="1"/>
      <w:marLeft w:val="0"/>
      <w:marRight w:val="0"/>
      <w:marTop w:val="0"/>
      <w:marBottom w:val="0"/>
      <w:divBdr>
        <w:top w:val="none" w:sz="0" w:space="0" w:color="auto"/>
        <w:left w:val="none" w:sz="0" w:space="0" w:color="auto"/>
        <w:bottom w:val="none" w:sz="0" w:space="0" w:color="auto"/>
        <w:right w:val="none" w:sz="0" w:space="0" w:color="auto"/>
      </w:divBdr>
    </w:div>
    <w:div w:id="2053259793">
      <w:bodyDiv w:val="1"/>
      <w:marLeft w:val="0"/>
      <w:marRight w:val="0"/>
      <w:marTop w:val="0"/>
      <w:marBottom w:val="0"/>
      <w:divBdr>
        <w:top w:val="none" w:sz="0" w:space="0" w:color="auto"/>
        <w:left w:val="none" w:sz="0" w:space="0" w:color="auto"/>
        <w:bottom w:val="none" w:sz="0" w:space="0" w:color="auto"/>
        <w:right w:val="none" w:sz="0" w:space="0" w:color="auto"/>
      </w:divBdr>
      <w:divsChild>
        <w:div w:id="7188243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AF3A07-2B4F-45C9-BFE5-0068D1AF9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3209</Words>
  <Characters>17687</Characters>
  <Application>Microsoft Office Word</Application>
  <DocSecurity>0</DocSecurity>
  <Lines>368</Lines>
  <Paragraphs>105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DESPACHO</dc:creator>
  <cp:lastModifiedBy>Hugo Palacios</cp:lastModifiedBy>
  <cp:revision>2</cp:revision>
  <cp:lastPrinted>2024-02-07T22:43:00Z</cp:lastPrinted>
  <dcterms:created xsi:type="dcterms:W3CDTF">2026-05-28T14:39:00Z</dcterms:created>
  <dcterms:modified xsi:type="dcterms:W3CDTF">2026-05-28T14:39:00Z</dcterms:modified>
</cp:coreProperties>
</file>